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864A4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11A35A0" wp14:editId="6587F2F2">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28018E" w:rsidRPr="00E039E1" w:rsidRDefault="0028018E"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28018E" w:rsidRPr="00E039E1" w:rsidRDefault="0028018E"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January 7, 2015</w:t>
                            </w:r>
                          </w:p>
                          <w:p w:rsidR="0028018E" w:rsidRPr="00E039E1" w:rsidRDefault="0028018E"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28018E" w:rsidRDefault="0028018E"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Maine Quality Counts</w:t>
                            </w:r>
                          </w:p>
                          <w:p w:rsidR="0028018E" w:rsidRDefault="0028018E" w:rsidP="00CA513B">
                            <w:pPr>
                              <w:pStyle w:val="NoSpacing"/>
                              <w:rPr>
                                <w:rStyle w:val="Strong"/>
                                <w:color w:val="1F497D" w:themeColor="text2"/>
                              </w:rPr>
                            </w:pPr>
                            <w:r>
                              <w:rPr>
                                <w:rStyle w:val="Strong"/>
                                <w:color w:val="1F497D" w:themeColor="text2"/>
                              </w:rPr>
                              <w:t>Call In Number: 1-866-740-1260</w:t>
                            </w:r>
                          </w:p>
                          <w:p w:rsidR="0028018E" w:rsidRDefault="0028018E" w:rsidP="00CA513B">
                            <w:pPr>
                              <w:pStyle w:val="NoSpacing"/>
                              <w:rPr>
                                <w:rStyle w:val="Strong"/>
                                <w:color w:val="1F497D" w:themeColor="text2"/>
                              </w:rPr>
                            </w:pPr>
                            <w:r>
                              <w:rPr>
                                <w:rStyle w:val="Strong"/>
                                <w:color w:val="1F497D" w:themeColor="text2"/>
                              </w:rPr>
                              <w:t>Access Code: 7117361#</w:t>
                            </w:r>
                          </w:p>
                          <w:p w:rsidR="0028018E" w:rsidRDefault="0028018E" w:rsidP="00CA513B">
                            <w:pPr>
                              <w:pStyle w:val="NoSpacing"/>
                              <w:rPr>
                                <w:rStyle w:val="Strong"/>
                                <w:color w:val="1F497D" w:themeColor="text2"/>
                              </w:rPr>
                            </w:pPr>
                          </w:p>
                          <w:p w:rsidR="0028018E" w:rsidRDefault="0028018E" w:rsidP="00CA513B">
                            <w:pPr>
                              <w:pStyle w:val="NoSpacing"/>
                            </w:pPr>
                          </w:p>
                          <w:p w:rsidR="0028018E" w:rsidRDefault="0028018E">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28018E" w:rsidRPr="00E039E1" w:rsidRDefault="0028018E"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28018E" w:rsidRPr="00E039E1" w:rsidRDefault="0028018E"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January 7, 2015</w:t>
                      </w:r>
                    </w:p>
                    <w:p w:rsidR="0028018E" w:rsidRPr="00E039E1" w:rsidRDefault="0028018E"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28018E" w:rsidRDefault="0028018E"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Maine Quality Counts</w:t>
                      </w:r>
                    </w:p>
                    <w:p w:rsidR="0028018E" w:rsidRDefault="0028018E" w:rsidP="00CA513B">
                      <w:pPr>
                        <w:pStyle w:val="NoSpacing"/>
                        <w:rPr>
                          <w:rStyle w:val="Strong"/>
                          <w:color w:val="1F497D" w:themeColor="text2"/>
                        </w:rPr>
                      </w:pPr>
                      <w:r>
                        <w:rPr>
                          <w:rStyle w:val="Strong"/>
                          <w:color w:val="1F497D" w:themeColor="text2"/>
                        </w:rPr>
                        <w:t>Call In Number: 1-866-740-1260</w:t>
                      </w:r>
                    </w:p>
                    <w:p w:rsidR="0028018E" w:rsidRDefault="0028018E" w:rsidP="00CA513B">
                      <w:pPr>
                        <w:pStyle w:val="NoSpacing"/>
                        <w:rPr>
                          <w:rStyle w:val="Strong"/>
                          <w:color w:val="1F497D" w:themeColor="text2"/>
                        </w:rPr>
                      </w:pPr>
                      <w:r>
                        <w:rPr>
                          <w:rStyle w:val="Strong"/>
                          <w:color w:val="1F497D" w:themeColor="text2"/>
                        </w:rPr>
                        <w:t>Access Code: 7117361#</w:t>
                      </w:r>
                    </w:p>
                    <w:p w:rsidR="0028018E" w:rsidRDefault="0028018E" w:rsidP="00CA513B">
                      <w:pPr>
                        <w:pStyle w:val="NoSpacing"/>
                        <w:rPr>
                          <w:rStyle w:val="Strong"/>
                          <w:color w:val="1F497D" w:themeColor="text2"/>
                        </w:rPr>
                      </w:pPr>
                    </w:p>
                    <w:p w:rsidR="0028018E" w:rsidRDefault="0028018E" w:rsidP="00CA513B">
                      <w:pPr>
                        <w:pStyle w:val="NoSpacing"/>
                      </w:pPr>
                    </w:p>
                    <w:p w:rsidR="0028018E" w:rsidRDefault="0028018E">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2B80141E" wp14:editId="6B909EE8">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FE4D5E" w:rsidRDefault="00FE4D5E" w:rsidP="00FE4D5E">
      <w:r>
        <w:rPr>
          <w:b/>
        </w:rPr>
        <w:t xml:space="preserve"> Chair: Lisa Tuttle, </w:t>
      </w:r>
      <w:r>
        <w:t xml:space="preserve">Maine Quality Counts </w:t>
      </w:r>
      <w:hyperlink r:id="rId11" w:history="1">
        <w:r>
          <w:rPr>
            <w:rStyle w:val="Hyperlink"/>
          </w:rPr>
          <w:t>ltuttle@mainequalitycounts.org</w:t>
        </w:r>
      </w:hyperlink>
    </w:p>
    <w:p w:rsidR="00FE4D5E" w:rsidRDefault="00FE4D5E" w:rsidP="00FE4D5E">
      <w:pPr>
        <w:pStyle w:val="NoSpacing"/>
      </w:pPr>
      <w:r>
        <w:rPr>
          <w:b/>
        </w:rPr>
        <w:t>Core Member Attendance:</w:t>
      </w:r>
      <w:r>
        <w:t xml:space="preserve">   Greg Bowers, Kathryn Brandt, Bob Downs, </w:t>
      </w:r>
      <w:r w:rsidR="00AA717C">
        <w:t xml:space="preserve">Rebecca Emmons, </w:t>
      </w:r>
      <w:r w:rsidR="00916453">
        <w:t>Brenda Gallant,</w:t>
      </w:r>
      <w:r>
        <w:t xml:space="preserve"> Barbara Ginley, Jud Knox</w:t>
      </w:r>
      <w:proofErr w:type="gramStart"/>
      <w:r>
        <w:t>,  Chris</w:t>
      </w:r>
      <w:proofErr w:type="gramEnd"/>
      <w:r>
        <w:t xml:space="preserve"> </w:t>
      </w:r>
      <w:proofErr w:type="spellStart"/>
      <w:r>
        <w:t>Pezzullo</w:t>
      </w:r>
      <w:proofErr w:type="spellEnd"/>
      <w:r>
        <w:t xml:space="preserve">,  Lydia Richard, Catherine </w:t>
      </w:r>
      <w:proofErr w:type="spellStart"/>
      <w:r>
        <w:t>Ryer</w:t>
      </w:r>
      <w:proofErr w:type="spellEnd"/>
      <w:r>
        <w:t xml:space="preserve">, Ellen </w:t>
      </w:r>
      <w:proofErr w:type="spellStart"/>
      <w:r>
        <w:t>Schneiter</w:t>
      </w:r>
      <w:proofErr w:type="spellEnd"/>
      <w:r>
        <w:t xml:space="preserve">, </w:t>
      </w:r>
      <w:r w:rsidR="00916453">
        <w:t xml:space="preserve">Rhonda Selvin, </w:t>
      </w:r>
      <w:r>
        <w:t xml:space="preserve">Katie </w:t>
      </w:r>
      <w:proofErr w:type="spellStart"/>
      <w:r>
        <w:t>Sendze</w:t>
      </w:r>
      <w:proofErr w:type="spellEnd"/>
      <w:r>
        <w:t xml:space="preserve">, Emilie van </w:t>
      </w:r>
      <w:proofErr w:type="spellStart"/>
      <w:r>
        <w:t>Eeghen</w:t>
      </w:r>
      <w:proofErr w:type="spellEnd"/>
      <w:r>
        <w:t xml:space="preserve"> </w:t>
      </w:r>
    </w:p>
    <w:p w:rsidR="00FE4D5E" w:rsidRDefault="00FE4D5E" w:rsidP="00FE4D5E">
      <w:r>
        <w:rPr>
          <w:b/>
        </w:rPr>
        <w:t xml:space="preserve">Ad-Hoc Members: </w:t>
      </w:r>
      <w:r>
        <w:t xml:space="preserve"> </w:t>
      </w:r>
      <w:r w:rsidR="00AA717C">
        <w:t xml:space="preserve">Becky Hayes Boober, Gerry Queally, </w:t>
      </w:r>
      <w:r>
        <w:t>Julie Shackley</w:t>
      </w:r>
    </w:p>
    <w:p w:rsidR="00FE4D5E" w:rsidRDefault="00FE4D5E" w:rsidP="008C516A">
      <w:r>
        <w:rPr>
          <w:b/>
        </w:rPr>
        <w:t xml:space="preserve">Interested Parties &amp; Guests:  </w:t>
      </w:r>
      <w:r w:rsidR="00AA717C" w:rsidRPr="00AA717C">
        <w:t xml:space="preserve">Christine Beaudette, </w:t>
      </w:r>
      <w:r w:rsidRPr="00AA717C">
        <w:t>Randy</w:t>
      </w:r>
      <w:r>
        <w:t xml:space="preserve"> </w:t>
      </w:r>
      <w:proofErr w:type="spellStart"/>
      <w:r>
        <w:t>Chenard</w:t>
      </w:r>
      <w:proofErr w:type="spellEnd"/>
      <w:r>
        <w:t xml:space="preserve">, Gloria Aponte Clark, </w:t>
      </w:r>
      <w:r w:rsidR="00AA717C">
        <w:t xml:space="preserve">Dennis Fitzgibbons, Lisa Letourneau, </w:t>
      </w:r>
      <w:proofErr w:type="spellStart"/>
      <w:r>
        <w:t>Simmone</w:t>
      </w:r>
      <w:proofErr w:type="spellEnd"/>
      <w:r>
        <w:t xml:space="preserve"> Maline</w:t>
      </w:r>
      <w:proofErr w:type="gramStart"/>
      <w:r>
        <w:t xml:space="preserve">,  </w:t>
      </w:r>
      <w:r w:rsidR="00AA717C">
        <w:t>Mike</w:t>
      </w:r>
      <w:proofErr w:type="gramEnd"/>
      <w:r w:rsidR="00AA717C">
        <w:t xml:space="preserve"> McLellan, Nathan Morse, </w:t>
      </w:r>
      <w:r>
        <w:t>Sandra Parker,</w:t>
      </w:r>
      <w:r w:rsidR="00AA717C">
        <w:t xml:space="preserve"> Helena Peterson, </w:t>
      </w:r>
      <w:proofErr w:type="spellStart"/>
      <w:r w:rsidR="00AA717C">
        <w:t>Judiann</w:t>
      </w:r>
      <w:proofErr w:type="spellEnd"/>
      <w:r w:rsidR="00AA717C">
        <w:t xml:space="preserve"> Smith</w:t>
      </w:r>
    </w:p>
    <w:p w:rsidR="00AD5607" w:rsidRPr="00382C14" w:rsidRDefault="00FE4D5E" w:rsidP="008C516A">
      <w:r>
        <w:rPr>
          <w:b/>
        </w:rPr>
        <w:t>Staff:</w:t>
      </w:r>
      <w:r>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0943DC" w:rsidP="0061044D">
            <w:pPr>
              <w:pStyle w:val="Formal1"/>
              <w:rPr>
                <w:rFonts w:asciiTheme="minorHAnsi" w:hAnsiTheme="minorHAnsi" w:cstheme="minorHAnsi"/>
                <w:b/>
                <w:sz w:val="22"/>
                <w:szCs w:val="22"/>
              </w:rPr>
            </w:pPr>
            <w:r>
              <w:rPr>
                <w:rFonts w:asciiTheme="minorHAnsi" w:hAnsiTheme="minorHAnsi" w:cstheme="minorHAnsi"/>
                <w:b/>
                <w:sz w:val="22"/>
                <w:szCs w:val="22"/>
              </w:rPr>
              <w:t>10:00 (10</w:t>
            </w:r>
            <w:r w:rsidR="00366684">
              <w:rPr>
                <w:rFonts w:asciiTheme="minorHAnsi" w:hAnsiTheme="minorHAnsi" w:cstheme="minorHAnsi"/>
                <w:b/>
                <w:sz w:val="22"/>
                <w:szCs w:val="22"/>
              </w:rPr>
              <w:t xml:space="preserve"> min)</w:t>
            </w:r>
          </w:p>
        </w:tc>
        <w:tc>
          <w:tcPr>
            <w:tcW w:w="4050" w:type="dxa"/>
          </w:tcPr>
          <w:p w:rsidR="00F12884" w:rsidRDefault="00051E6B" w:rsidP="00737F54">
            <w:r>
              <w:t xml:space="preserve"> </w:t>
            </w:r>
            <w:r w:rsidR="00534E7A">
              <w:t xml:space="preserve"> </w:t>
            </w:r>
          </w:p>
          <w:p w:rsidR="000943DC" w:rsidRDefault="000943DC" w:rsidP="00737F54"/>
          <w:p w:rsidR="000943DC" w:rsidRPr="00382C14" w:rsidRDefault="000943DC" w:rsidP="00737F54"/>
        </w:tc>
        <w:tc>
          <w:tcPr>
            <w:tcW w:w="2790" w:type="dxa"/>
          </w:tcPr>
          <w:p w:rsidR="000A6C66" w:rsidRPr="00382C14" w:rsidRDefault="00DD2C8D" w:rsidP="0061044D">
            <w:pPr>
              <w:pStyle w:val="Formal1"/>
              <w:rPr>
                <w:rFonts w:asciiTheme="minorHAnsi" w:hAnsiTheme="minorHAnsi" w:cstheme="minorHAnsi"/>
                <w:b/>
                <w:sz w:val="22"/>
                <w:szCs w:val="22"/>
              </w:rPr>
            </w:pPr>
            <w:r>
              <w:rPr>
                <w:rFonts w:asciiTheme="minorHAnsi" w:hAnsiTheme="minorHAnsi" w:cstheme="minorHAnsi"/>
                <w:b/>
                <w:sz w:val="22"/>
                <w:szCs w:val="22"/>
              </w:rPr>
              <w:t>Agenda reviewed and accepted</w:t>
            </w:r>
          </w:p>
        </w:tc>
      </w:tr>
      <w:tr w:rsidR="000A6C66" w:rsidRPr="00382C14" w:rsidTr="001D798E">
        <w:tc>
          <w:tcPr>
            <w:tcW w:w="3708" w:type="dxa"/>
          </w:tcPr>
          <w:p w:rsidR="000943DC" w:rsidRDefault="000943DC" w:rsidP="000943DC">
            <w:pPr>
              <w:pStyle w:val="ListParagraph"/>
              <w:numPr>
                <w:ilvl w:val="0"/>
                <w:numId w:val="19"/>
              </w:numPr>
              <w:rPr>
                <w:rFonts w:asciiTheme="minorHAnsi" w:hAnsiTheme="minorHAnsi" w:cstheme="minorHAnsi"/>
                <w:b/>
              </w:rPr>
            </w:pPr>
            <w:r>
              <w:rPr>
                <w:rFonts w:cstheme="minorHAnsi"/>
                <w:b/>
              </w:rPr>
              <w:t xml:space="preserve"> </w:t>
            </w:r>
            <w:r>
              <w:rPr>
                <w:rFonts w:asciiTheme="minorHAnsi" w:hAnsiTheme="minorHAnsi" w:cstheme="minorHAnsi"/>
                <w:b/>
              </w:rPr>
              <w:t xml:space="preserve">Approval of 12-3-14 DSR Notes </w:t>
            </w:r>
          </w:p>
          <w:p w:rsidR="000943DC" w:rsidRDefault="000943DC" w:rsidP="000943DC">
            <w:pPr>
              <w:pStyle w:val="ListParagraph"/>
              <w:numPr>
                <w:ilvl w:val="0"/>
                <w:numId w:val="19"/>
              </w:numPr>
              <w:rPr>
                <w:rFonts w:asciiTheme="minorHAnsi" w:hAnsiTheme="minorHAnsi" w:cstheme="minorHAnsi"/>
                <w:b/>
              </w:rPr>
            </w:pPr>
            <w:r>
              <w:rPr>
                <w:rFonts w:asciiTheme="minorHAnsi" w:hAnsiTheme="minorHAnsi" w:cstheme="minorHAnsi"/>
                <w:b/>
              </w:rPr>
              <w:t>Payment Reform 12-16-14 Draft Meeting Minutes</w:t>
            </w:r>
          </w:p>
          <w:p w:rsidR="00366684" w:rsidRDefault="000943DC" w:rsidP="000943DC">
            <w:pPr>
              <w:rPr>
                <w:rFonts w:cstheme="minorHAnsi"/>
                <w:b/>
              </w:rPr>
            </w:pPr>
            <w:r>
              <w:rPr>
                <w:rFonts w:cstheme="minorHAnsi"/>
                <w:b/>
              </w:rPr>
              <w:t>Data Infrastructure (No Dec. Meeting)</w:t>
            </w:r>
          </w:p>
          <w:p w:rsidR="00366684" w:rsidRPr="00366684" w:rsidRDefault="00366684" w:rsidP="00366684">
            <w:pPr>
              <w:rPr>
                <w:rFonts w:cstheme="minorHAnsi"/>
                <w:b/>
              </w:rPr>
            </w:pPr>
          </w:p>
        </w:tc>
        <w:tc>
          <w:tcPr>
            <w:tcW w:w="1620" w:type="dxa"/>
          </w:tcPr>
          <w:p w:rsidR="00205ACD" w:rsidRPr="000943DC" w:rsidRDefault="000A6C66" w:rsidP="00CA513B">
            <w:pPr>
              <w:rPr>
                <w:b/>
              </w:rPr>
            </w:pPr>
            <w:r w:rsidRPr="000943DC">
              <w:rPr>
                <w:b/>
              </w:rPr>
              <w:t>All</w:t>
            </w:r>
          </w:p>
          <w:p w:rsidR="000A6C66" w:rsidRPr="000943DC" w:rsidRDefault="000943DC" w:rsidP="00CA513B">
            <w:pPr>
              <w:rPr>
                <w:b/>
              </w:rPr>
            </w:pPr>
            <w:r w:rsidRPr="000943DC">
              <w:rPr>
                <w:b/>
              </w:rPr>
              <w:t>10:05 (5</w:t>
            </w:r>
            <w:r w:rsidR="00366684" w:rsidRPr="000943DC">
              <w:rPr>
                <w:b/>
              </w:rPr>
              <w:t xml:space="preserve"> min)</w:t>
            </w:r>
          </w:p>
          <w:p w:rsidR="00046DB0" w:rsidRPr="000943DC" w:rsidRDefault="006C2122" w:rsidP="00CA513B">
            <w:r w:rsidRPr="000943DC">
              <w:t xml:space="preserve"> </w:t>
            </w:r>
          </w:p>
          <w:p w:rsidR="000C5E04" w:rsidRPr="00382C14" w:rsidRDefault="000C5E04" w:rsidP="00CA513B">
            <w:pPr>
              <w:rPr>
                <w:b/>
              </w:rPr>
            </w:pPr>
          </w:p>
        </w:tc>
        <w:tc>
          <w:tcPr>
            <w:tcW w:w="4050" w:type="dxa"/>
          </w:tcPr>
          <w:p w:rsidR="003264CE" w:rsidRPr="00382C14" w:rsidRDefault="003264CE" w:rsidP="00DD2C8D">
            <w:pPr>
              <w:spacing w:after="200" w:line="276" w:lineRule="auto"/>
              <w:rPr>
                <w:rFonts w:cstheme="minorHAnsi"/>
              </w:rPr>
            </w:pPr>
            <w:r>
              <w:rPr>
                <w:rFonts w:cstheme="minorHAnsi"/>
              </w:rPr>
              <w:t xml:space="preserve">Payment Reform Meeting:  DSR Subcommittee has </w:t>
            </w:r>
            <w:r w:rsidR="00DD2C8D">
              <w:rPr>
                <w:rFonts w:cstheme="minorHAnsi"/>
              </w:rPr>
              <w:t>Interest in seeing the report on the Measure Alignment Work Group.  Should be available soon and will be distributed to interested parties.</w:t>
            </w:r>
          </w:p>
        </w:tc>
        <w:tc>
          <w:tcPr>
            <w:tcW w:w="2790" w:type="dxa"/>
          </w:tcPr>
          <w:p w:rsidR="007824F0" w:rsidRDefault="00DD2C8D" w:rsidP="00B722D3">
            <w:pPr>
              <w:spacing w:after="200" w:line="276" w:lineRule="auto"/>
              <w:rPr>
                <w:rFonts w:cstheme="minorHAnsi"/>
                <w:b/>
              </w:rPr>
            </w:pPr>
            <w:r w:rsidRPr="008E38A8">
              <w:rPr>
                <w:rFonts w:cstheme="minorHAnsi"/>
                <w:b/>
              </w:rPr>
              <w:t>DSR subcomm</w:t>
            </w:r>
            <w:r>
              <w:rPr>
                <w:rFonts w:cstheme="minorHAnsi"/>
                <w:b/>
              </w:rPr>
              <w:t>ittee approved the notes of 12-3</w:t>
            </w:r>
            <w:r w:rsidRPr="008E38A8">
              <w:rPr>
                <w:rFonts w:cstheme="minorHAnsi"/>
                <w:b/>
              </w:rPr>
              <w:t>-14 SIM DSR meeting as presented</w:t>
            </w:r>
          </w:p>
          <w:p w:rsidR="00845764" w:rsidRPr="00382C14" w:rsidRDefault="00845764" w:rsidP="00B722D3">
            <w:pPr>
              <w:spacing w:after="200" w:line="276" w:lineRule="auto"/>
              <w:rPr>
                <w:rFonts w:cstheme="minorHAnsi"/>
                <w:b/>
              </w:rPr>
            </w:pPr>
            <w:r>
              <w:rPr>
                <w:rFonts w:cstheme="minorHAnsi"/>
                <w:b/>
              </w:rPr>
              <w:t>MHMC will distribute Measure Alignment Workgroup Summary</w:t>
            </w:r>
          </w:p>
        </w:tc>
      </w:tr>
      <w:tr w:rsidR="000C5E04" w:rsidRPr="00382C14" w:rsidTr="001D798E">
        <w:tc>
          <w:tcPr>
            <w:tcW w:w="3708" w:type="dxa"/>
          </w:tcPr>
          <w:p w:rsidR="00317EB4" w:rsidRPr="000943DC" w:rsidRDefault="000943DC" w:rsidP="000943DC">
            <w:pPr>
              <w:pStyle w:val="ListParagraph"/>
              <w:numPr>
                <w:ilvl w:val="0"/>
                <w:numId w:val="19"/>
              </w:numPr>
              <w:rPr>
                <w:rFonts w:cstheme="minorHAnsi"/>
                <w:b/>
              </w:rPr>
            </w:pPr>
            <w:r>
              <w:rPr>
                <w:rFonts w:cstheme="minorHAnsi"/>
                <w:b/>
              </w:rPr>
              <w:lastRenderedPageBreak/>
              <w:t xml:space="preserve"> </w:t>
            </w:r>
            <w:r w:rsidRPr="000943DC">
              <w:rPr>
                <w:rFonts w:cstheme="minorHAnsi"/>
                <w:b/>
              </w:rPr>
              <w:t xml:space="preserve"> Medical Home &amp; Beyond</w:t>
            </w:r>
            <w:r w:rsidR="00317EB4" w:rsidRPr="000943DC">
              <w:rPr>
                <w:rFonts w:cstheme="minorHAnsi"/>
                <w:b/>
              </w:rPr>
              <w:t xml:space="preserve"> </w:t>
            </w:r>
            <w:r w:rsidR="00307654" w:rsidRPr="000943DC">
              <w:rPr>
                <w:rFonts w:cstheme="minorHAnsi"/>
                <w:b/>
              </w:rPr>
              <w:t xml:space="preserve"> </w:t>
            </w:r>
          </w:p>
        </w:tc>
        <w:tc>
          <w:tcPr>
            <w:tcW w:w="1620" w:type="dxa"/>
          </w:tcPr>
          <w:p w:rsidR="00366684" w:rsidRPr="000943DC" w:rsidRDefault="000943DC" w:rsidP="00CA513B">
            <w:pPr>
              <w:rPr>
                <w:b/>
              </w:rPr>
            </w:pPr>
            <w:r w:rsidRPr="000943DC">
              <w:rPr>
                <w:b/>
              </w:rPr>
              <w:t>Lisa Letourneau 10:10 (60 min)</w:t>
            </w:r>
          </w:p>
          <w:p w:rsidR="000C5E04" w:rsidRPr="00382C14" w:rsidRDefault="000C5E04" w:rsidP="00CA513B">
            <w:pPr>
              <w:rPr>
                <w:b/>
              </w:rPr>
            </w:pPr>
          </w:p>
        </w:tc>
        <w:tc>
          <w:tcPr>
            <w:tcW w:w="4050" w:type="dxa"/>
          </w:tcPr>
          <w:p w:rsidR="003264CE" w:rsidRDefault="003264CE" w:rsidP="009E21FE">
            <w:pPr>
              <w:rPr>
                <w:rFonts w:cstheme="minorHAnsi"/>
              </w:rPr>
            </w:pPr>
            <w:r>
              <w:rPr>
                <w:rFonts w:cstheme="minorHAnsi"/>
              </w:rPr>
              <w:t xml:space="preserve">Lisa Letourneau gave a presentation on  the status </w:t>
            </w:r>
            <w:r w:rsidR="00DD2C8D">
              <w:rPr>
                <w:rFonts w:cstheme="minorHAnsi"/>
              </w:rPr>
              <w:t>of Primary Care Payment Reform</w:t>
            </w:r>
            <w:r w:rsidR="00B779CA">
              <w:rPr>
                <w:rFonts w:cstheme="minorHAnsi"/>
              </w:rPr>
              <w:t xml:space="preserve"> </w:t>
            </w:r>
            <w:r>
              <w:rPr>
                <w:rFonts w:cstheme="minorHAnsi"/>
              </w:rPr>
              <w:t>in the State of Maine which included:</w:t>
            </w:r>
          </w:p>
          <w:p w:rsidR="003264CE" w:rsidRPr="003264CE" w:rsidRDefault="003264CE" w:rsidP="003264CE">
            <w:pPr>
              <w:pStyle w:val="ListParagraph"/>
              <w:numPr>
                <w:ilvl w:val="0"/>
                <w:numId w:val="22"/>
              </w:numPr>
              <w:rPr>
                <w:rFonts w:cstheme="minorHAnsi"/>
              </w:rPr>
            </w:pPr>
            <w:r w:rsidRPr="003264CE">
              <w:rPr>
                <w:rFonts w:cstheme="minorHAnsi"/>
              </w:rPr>
              <w:t>Review of status of primary care efforts</w:t>
            </w:r>
          </w:p>
          <w:p w:rsidR="003264CE" w:rsidRPr="003264CE" w:rsidRDefault="003264CE" w:rsidP="003264CE">
            <w:pPr>
              <w:pStyle w:val="ListParagraph"/>
              <w:numPr>
                <w:ilvl w:val="0"/>
                <w:numId w:val="23"/>
              </w:numPr>
              <w:rPr>
                <w:rFonts w:cstheme="minorHAnsi"/>
              </w:rPr>
            </w:pPr>
            <w:r w:rsidRPr="003264CE">
              <w:rPr>
                <w:rFonts w:cstheme="minorHAnsi"/>
              </w:rPr>
              <w:t>Maine PCMH Pilot and MAPCP Demo</w:t>
            </w:r>
          </w:p>
          <w:p w:rsidR="003264CE" w:rsidRPr="003264CE" w:rsidRDefault="003264CE" w:rsidP="003264CE">
            <w:pPr>
              <w:pStyle w:val="ListParagraph"/>
              <w:numPr>
                <w:ilvl w:val="0"/>
                <w:numId w:val="23"/>
              </w:numPr>
              <w:rPr>
                <w:rFonts w:cstheme="minorHAnsi"/>
              </w:rPr>
            </w:pPr>
            <w:proofErr w:type="spellStart"/>
            <w:r w:rsidRPr="003264CE">
              <w:rPr>
                <w:rFonts w:cstheme="minorHAnsi"/>
              </w:rPr>
              <w:t>MaineCare</w:t>
            </w:r>
            <w:proofErr w:type="spellEnd"/>
            <w:r w:rsidRPr="003264CE">
              <w:rPr>
                <w:rFonts w:cstheme="minorHAnsi"/>
              </w:rPr>
              <w:t xml:space="preserve"> Health Homes</w:t>
            </w:r>
          </w:p>
          <w:p w:rsidR="003264CE" w:rsidRPr="003264CE" w:rsidRDefault="003264CE" w:rsidP="003264CE">
            <w:pPr>
              <w:pStyle w:val="ListParagraph"/>
              <w:numPr>
                <w:ilvl w:val="0"/>
                <w:numId w:val="23"/>
              </w:numPr>
              <w:rPr>
                <w:rFonts w:cstheme="minorHAnsi"/>
              </w:rPr>
            </w:pPr>
            <w:r w:rsidRPr="003264CE">
              <w:rPr>
                <w:rFonts w:cstheme="minorHAnsi"/>
              </w:rPr>
              <w:t>Beyond the Pilot</w:t>
            </w:r>
          </w:p>
          <w:p w:rsidR="00794936" w:rsidRDefault="003264CE" w:rsidP="009E21FE">
            <w:pPr>
              <w:rPr>
                <w:rFonts w:cstheme="minorHAnsi"/>
              </w:rPr>
            </w:pPr>
            <w:r>
              <w:rPr>
                <w:rFonts w:cstheme="minorHAnsi"/>
              </w:rPr>
              <w:t xml:space="preserve"> </w:t>
            </w:r>
            <w:r w:rsidR="00B779CA">
              <w:rPr>
                <w:rFonts w:cstheme="minorHAnsi"/>
              </w:rPr>
              <w:t xml:space="preserve">(See attached </w:t>
            </w:r>
            <w:proofErr w:type="spellStart"/>
            <w:r w:rsidR="00B779CA">
              <w:rPr>
                <w:rFonts w:cstheme="minorHAnsi"/>
              </w:rPr>
              <w:t>ppt</w:t>
            </w:r>
            <w:proofErr w:type="spellEnd"/>
            <w:r w:rsidR="00B779CA">
              <w:rPr>
                <w:rFonts w:cstheme="minorHAnsi"/>
              </w:rPr>
              <w:t>)</w:t>
            </w:r>
          </w:p>
          <w:p w:rsidR="00366684" w:rsidRDefault="00366684" w:rsidP="009E21FE">
            <w:pPr>
              <w:rPr>
                <w:rFonts w:cstheme="minorHAnsi"/>
              </w:rPr>
            </w:pPr>
          </w:p>
          <w:p w:rsidR="00366684" w:rsidRDefault="003264CE" w:rsidP="009E21FE">
            <w:pPr>
              <w:rPr>
                <w:rFonts w:cstheme="minorHAnsi"/>
              </w:rPr>
            </w:pPr>
            <w:r>
              <w:rPr>
                <w:rFonts w:cstheme="minorHAnsi"/>
              </w:rPr>
              <w:t>ACI meeting on January 20</w:t>
            </w:r>
            <w:r w:rsidRPr="00401D7B">
              <w:rPr>
                <w:rFonts w:cstheme="minorHAnsi"/>
                <w:vertAlign w:val="superscript"/>
              </w:rPr>
              <w:t>th</w:t>
            </w:r>
            <w:r>
              <w:rPr>
                <w:rFonts w:cstheme="minorHAnsi"/>
              </w:rPr>
              <w:t xml:space="preserve"> 3:00 – 5:00 PM</w:t>
            </w:r>
          </w:p>
          <w:p w:rsidR="00366684" w:rsidRPr="00382C14" w:rsidRDefault="00366684" w:rsidP="009E21FE">
            <w:pPr>
              <w:rPr>
                <w:rFonts w:cstheme="minorHAnsi"/>
              </w:rPr>
            </w:pPr>
          </w:p>
        </w:tc>
        <w:tc>
          <w:tcPr>
            <w:tcW w:w="2790" w:type="dxa"/>
          </w:tcPr>
          <w:p w:rsidR="009A674E" w:rsidRDefault="00687668" w:rsidP="0061044D">
            <w:pPr>
              <w:rPr>
                <w:rFonts w:cstheme="minorHAnsi"/>
              </w:rPr>
            </w:pPr>
            <w:r>
              <w:rPr>
                <w:rFonts w:cstheme="minorHAnsi"/>
              </w:rPr>
              <w:t>Send out links to MQC webinars (recent)</w:t>
            </w:r>
          </w:p>
          <w:p w:rsidR="00401D7B" w:rsidRDefault="00401D7B" w:rsidP="0061044D">
            <w:pPr>
              <w:rPr>
                <w:rFonts w:cstheme="minorHAnsi"/>
              </w:rPr>
            </w:pPr>
            <w:r>
              <w:rPr>
                <w:rFonts w:cstheme="minorHAnsi"/>
              </w:rPr>
              <w:t>Share multi-payer payment papers</w:t>
            </w:r>
          </w:p>
          <w:p w:rsidR="00401D7B" w:rsidRDefault="003264CE" w:rsidP="0061044D">
            <w:pPr>
              <w:rPr>
                <w:rFonts w:cstheme="minorHAnsi"/>
              </w:rPr>
            </w:pPr>
            <w:r>
              <w:rPr>
                <w:rFonts w:cstheme="minorHAnsi"/>
              </w:rPr>
              <w:t xml:space="preserve"> </w:t>
            </w:r>
          </w:p>
          <w:p w:rsidR="00433786" w:rsidRPr="009E21FE" w:rsidRDefault="00433786" w:rsidP="0061044D">
            <w:pPr>
              <w:rPr>
                <w:rFonts w:cstheme="minorHAnsi"/>
              </w:rPr>
            </w:pPr>
            <w:r>
              <w:rPr>
                <w:rFonts w:cstheme="minorHAnsi"/>
              </w:rPr>
              <w:t>Send resources on CCM Codes to DSR</w:t>
            </w:r>
          </w:p>
        </w:tc>
      </w:tr>
      <w:tr w:rsidR="000A6C66" w:rsidRPr="00382C14" w:rsidTr="001D798E">
        <w:tc>
          <w:tcPr>
            <w:tcW w:w="3708" w:type="dxa"/>
          </w:tcPr>
          <w:p w:rsidR="000943DC" w:rsidRDefault="000943DC" w:rsidP="000943DC">
            <w:pPr>
              <w:pStyle w:val="ListParagraph"/>
              <w:numPr>
                <w:ilvl w:val="0"/>
                <w:numId w:val="19"/>
              </w:numPr>
              <w:rPr>
                <w:rFonts w:asciiTheme="minorHAnsi" w:hAnsiTheme="minorHAnsi" w:cstheme="minorHAnsi"/>
                <w:b/>
              </w:rPr>
            </w:pPr>
            <w:r>
              <w:rPr>
                <w:rFonts w:cstheme="minorHAnsi"/>
                <w:b/>
              </w:rPr>
              <w:t xml:space="preserve"> </w:t>
            </w:r>
            <w:r>
              <w:rPr>
                <w:rFonts w:asciiTheme="minorHAnsi" w:hAnsiTheme="minorHAnsi" w:cstheme="minorHAnsi"/>
                <w:b/>
              </w:rPr>
              <w:t>Steering Committee Updates</w:t>
            </w:r>
          </w:p>
          <w:p w:rsidR="000943DC" w:rsidRDefault="000943DC" w:rsidP="000943DC">
            <w:pPr>
              <w:pStyle w:val="ListParagraph"/>
              <w:numPr>
                <w:ilvl w:val="0"/>
                <w:numId w:val="20"/>
              </w:numPr>
              <w:rPr>
                <w:rFonts w:asciiTheme="minorHAnsi" w:hAnsiTheme="minorHAnsi" w:cstheme="minorHAnsi"/>
                <w:b/>
              </w:rPr>
            </w:pPr>
            <w:r>
              <w:rPr>
                <w:rFonts w:asciiTheme="minorHAnsi" w:hAnsiTheme="minorHAnsi" w:cstheme="minorHAnsi"/>
                <w:b/>
              </w:rPr>
              <w:t>Annual Meeting Planning</w:t>
            </w:r>
          </w:p>
          <w:p w:rsidR="000943DC" w:rsidRDefault="000943DC" w:rsidP="000943DC">
            <w:pPr>
              <w:pStyle w:val="ListParagraph"/>
              <w:numPr>
                <w:ilvl w:val="0"/>
                <w:numId w:val="20"/>
              </w:numPr>
              <w:rPr>
                <w:rFonts w:asciiTheme="minorHAnsi" w:hAnsiTheme="minorHAnsi" w:cstheme="minorHAnsi"/>
                <w:b/>
              </w:rPr>
            </w:pPr>
            <w:r>
              <w:rPr>
                <w:rFonts w:asciiTheme="minorHAnsi" w:hAnsiTheme="minorHAnsi" w:cstheme="minorHAnsi"/>
                <w:b/>
              </w:rPr>
              <w:t>Disabilities Risk</w:t>
            </w:r>
          </w:p>
          <w:p w:rsidR="00317EB4" w:rsidRPr="00317EB4" w:rsidRDefault="00317EB4" w:rsidP="00317EB4">
            <w:pPr>
              <w:rPr>
                <w:rFonts w:cstheme="minorHAnsi"/>
                <w:b/>
              </w:rPr>
            </w:pPr>
          </w:p>
          <w:p w:rsidR="0061044D" w:rsidRDefault="0061044D" w:rsidP="008A4DE0">
            <w:pPr>
              <w:pStyle w:val="ListParagraph"/>
              <w:ind w:left="360"/>
              <w:rPr>
                <w:rFonts w:asciiTheme="minorHAnsi" w:hAnsiTheme="minorHAnsi" w:cstheme="minorHAnsi"/>
                <w:b/>
              </w:rPr>
            </w:pPr>
          </w:p>
          <w:p w:rsidR="0061044D" w:rsidRPr="00215823" w:rsidRDefault="0061044D" w:rsidP="00215823">
            <w:pPr>
              <w:rPr>
                <w:rFonts w:cstheme="minorHAnsi"/>
                <w:b/>
              </w:rPr>
            </w:pPr>
          </w:p>
          <w:p w:rsidR="0061044D" w:rsidRPr="006C2122" w:rsidRDefault="0061044D" w:rsidP="006C2122">
            <w:pPr>
              <w:rPr>
                <w:rFonts w:cstheme="minorHAnsi"/>
                <w:b/>
              </w:rPr>
            </w:pPr>
          </w:p>
          <w:p w:rsidR="000A6C66" w:rsidRPr="00366684" w:rsidRDefault="000A6C66" w:rsidP="00366684">
            <w:pPr>
              <w:rPr>
                <w:rFonts w:cstheme="minorHAnsi"/>
                <w:b/>
              </w:rPr>
            </w:pPr>
          </w:p>
        </w:tc>
        <w:tc>
          <w:tcPr>
            <w:tcW w:w="1620" w:type="dxa"/>
          </w:tcPr>
          <w:p w:rsidR="000943DC" w:rsidRDefault="000943DC" w:rsidP="00CA513B">
            <w:pPr>
              <w:rPr>
                <w:b/>
              </w:rPr>
            </w:pPr>
            <w:r>
              <w:rPr>
                <w:b/>
              </w:rPr>
              <w:t xml:space="preserve">Randy </w:t>
            </w:r>
            <w:proofErr w:type="spellStart"/>
            <w:r>
              <w:rPr>
                <w:b/>
              </w:rPr>
              <w:t>Chenard</w:t>
            </w:r>
            <w:proofErr w:type="spellEnd"/>
            <w:r>
              <w:rPr>
                <w:b/>
              </w:rPr>
              <w:t>; Gloria Aponte Clark 11:15</w:t>
            </w:r>
          </w:p>
          <w:p w:rsidR="00366684" w:rsidRPr="00382C14" w:rsidRDefault="000943DC" w:rsidP="00CA513B">
            <w:pPr>
              <w:rPr>
                <w:b/>
              </w:rPr>
            </w:pPr>
            <w:r>
              <w:rPr>
                <w:b/>
              </w:rPr>
              <w:t>(15 min)</w:t>
            </w:r>
          </w:p>
          <w:p w:rsidR="000C5E04" w:rsidRPr="00382C14" w:rsidRDefault="000C5E04" w:rsidP="00CA513B">
            <w:pPr>
              <w:rPr>
                <w:b/>
              </w:rPr>
            </w:pPr>
          </w:p>
        </w:tc>
        <w:tc>
          <w:tcPr>
            <w:tcW w:w="4050" w:type="dxa"/>
          </w:tcPr>
          <w:p w:rsidR="00022A29" w:rsidRDefault="00E075CF" w:rsidP="006F2FDF">
            <w:pPr>
              <w:rPr>
                <w:rFonts w:cstheme="minorHAnsi"/>
              </w:rPr>
            </w:pPr>
            <w:r>
              <w:rPr>
                <w:rFonts w:cstheme="minorHAnsi"/>
              </w:rPr>
              <w:t>Annual Meeting Planning: There are currently 120 people</w:t>
            </w:r>
            <w:r w:rsidR="00433786">
              <w:rPr>
                <w:rFonts w:cstheme="minorHAnsi"/>
              </w:rPr>
              <w:t xml:space="preserve"> registered for the annual meeting </w:t>
            </w:r>
            <w:r w:rsidR="004D0BB4">
              <w:rPr>
                <w:rFonts w:cstheme="minorHAnsi"/>
              </w:rPr>
              <w:t xml:space="preserve">on January </w:t>
            </w:r>
            <w:r w:rsidR="00433786">
              <w:rPr>
                <w:rFonts w:cstheme="minorHAnsi"/>
              </w:rPr>
              <w:t>28</w:t>
            </w:r>
            <w:r w:rsidR="004D0BB4">
              <w:rPr>
                <w:rFonts w:cstheme="minorHAnsi"/>
              </w:rPr>
              <w:t>h.</w:t>
            </w:r>
            <w:r w:rsidR="00433786">
              <w:rPr>
                <w:rFonts w:cstheme="minorHAnsi"/>
              </w:rPr>
              <w:t xml:space="preserve">  </w:t>
            </w:r>
            <w:r>
              <w:rPr>
                <w:rFonts w:cstheme="minorHAnsi"/>
              </w:rPr>
              <w:t>The t</w:t>
            </w:r>
            <w:r w:rsidR="00433786">
              <w:rPr>
                <w:rFonts w:cstheme="minorHAnsi"/>
              </w:rPr>
              <w:t>heme focus will be on high level accomplishments and looking forward to wh</w:t>
            </w:r>
            <w:r w:rsidR="004D0BB4">
              <w:rPr>
                <w:rFonts w:cstheme="minorHAnsi"/>
              </w:rPr>
              <w:t>a</w:t>
            </w:r>
            <w:r w:rsidR="00022A29">
              <w:rPr>
                <w:rFonts w:cstheme="minorHAnsi"/>
              </w:rPr>
              <w:t>t we can expect for year two.</w:t>
            </w:r>
          </w:p>
          <w:p w:rsidR="00E075CF" w:rsidRDefault="00433786" w:rsidP="006F2FDF">
            <w:pPr>
              <w:rPr>
                <w:rFonts w:cstheme="minorHAnsi"/>
              </w:rPr>
            </w:pPr>
            <w:r>
              <w:rPr>
                <w:rFonts w:cstheme="minorHAnsi"/>
              </w:rPr>
              <w:t xml:space="preserve">  </w:t>
            </w:r>
          </w:p>
          <w:p w:rsidR="00E075CF" w:rsidRDefault="00022A29" w:rsidP="006F2FDF">
            <w:pPr>
              <w:rPr>
                <w:rFonts w:cstheme="minorHAnsi"/>
              </w:rPr>
            </w:pPr>
            <w:r>
              <w:rPr>
                <w:rFonts w:cstheme="minorHAnsi"/>
              </w:rPr>
              <w:t>Commissioner May</w:t>
            </w:r>
            <w:r w:rsidR="00845764">
              <w:rPr>
                <w:rFonts w:cstheme="minorHAnsi"/>
              </w:rPr>
              <w:t>h</w:t>
            </w:r>
            <w:r>
              <w:rPr>
                <w:rFonts w:cstheme="minorHAnsi"/>
              </w:rPr>
              <w:t>e</w:t>
            </w:r>
            <w:r w:rsidR="00E075CF">
              <w:rPr>
                <w:rFonts w:cstheme="minorHAnsi"/>
              </w:rPr>
              <w:t>w will talk on the importance of SIM in Maine.</w:t>
            </w:r>
          </w:p>
          <w:p w:rsidR="00E075CF" w:rsidRDefault="00433786" w:rsidP="006F2FDF">
            <w:pPr>
              <w:rPr>
                <w:rFonts w:cstheme="minorHAnsi"/>
              </w:rPr>
            </w:pPr>
            <w:r>
              <w:rPr>
                <w:rFonts w:cstheme="minorHAnsi"/>
              </w:rPr>
              <w:t>CMS</w:t>
            </w:r>
            <w:r w:rsidR="00E075CF">
              <w:rPr>
                <w:rFonts w:cstheme="minorHAnsi"/>
              </w:rPr>
              <w:t>/CMMI</w:t>
            </w:r>
            <w:r>
              <w:rPr>
                <w:rFonts w:cstheme="minorHAnsi"/>
              </w:rPr>
              <w:t xml:space="preserve"> will be th</w:t>
            </w:r>
            <w:r w:rsidR="004D0BB4">
              <w:rPr>
                <w:rFonts w:cstheme="minorHAnsi"/>
              </w:rPr>
              <w:t>e</w:t>
            </w:r>
            <w:r>
              <w:rPr>
                <w:rFonts w:cstheme="minorHAnsi"/>
              </w:rPr>
              <w:t>re to talk about their perspective on SIM</w:t>
            </w:r>
            <w:r w:rsidR="00E075CF">
              <w:rPr>
                <w:rFonts w:cstheme="minorHAnsi"/>
              </w:rPr>
              <w:t xml:space="preserve"> reform efforts </w:t>
            </w:r>
            <w:r>
              <w:rPr>
                <w:rFonts w:cstheme="minorHAnsi"/>
              </w:rPr>
              <w:t xml:space="preserve">in Maine.  </w:t>
            </w:r>
          </w:p>
          <w:p w:rsidR="00E075CF" w:rsidRPr="00022A29" w:rsidRDefault="00E075CF" w:rsidP="00E075CF">
            <w:r w:rsidRPr="00022A29">
              <w:rPr>
                <w:rFonts w:cstheme="minorHAnsi"/>
                <w:sz w:val="24"/>
                <w:szCs w:val="24"/>
              </w:rPr>
              <w:t>NASHP</w:t>
            </w:r>
            <w:r w:rsidR="00022A29" w:rsidRPr="00022A29">
              <w:rPr>
                <w:rFonts w:cstheme="minorHAnsi"/>
                <w:sz w:val="24"/>
                <w:szCs w:val="24"/>
              </w:rPr>
              <w:t xml:space="preserve">’s presentation: </w:t>
            </w:r>
            <w:r w:rsidRPr="00022A29">
              <w:t>Sustaining Momentum in Multi-Payer Payment Reform: Transitioning from Design to Implementation</w:t>
            </w:r>
          </w:p>
          <w:p w:rsidR="00794936" w:rsidRDefault="00022A29" w:rsidP="006F2FDF">
            <w:pPr>
              <w:rPr>
                <w:rFonts w:cstheme="minorHAnsi"/>
              </w:rPr>
            </w:pPr>
            <w:r>
              <w:rPr>
                <w:rFonts w:cstheme="minorHAnsi"/>
                <w:sz w:val="24"/>
                <w:szCs w:val="24"/>
              </w:rPr>
              <w:t xml:space="preserve">There will also be </w:t>
            </w:r>
            <w:r w:rsidR="00433786" w:rsidRPr="00022A29">
              <w:rPr>
                <w:rFonts w:cstheme="minorHAnsi"/>
                <w:sz w:val="24"/>
                <w:szCs w:val="24"/>
              </w:rPr>
              <w:t>a presentation</w:t>
            </w:r>
            <w:r w:rsidR="00433786">
              <w:rPr>
                <w:rFonts w:cstheme="minorHAnsi"/>
              </w:rPr>
              <w:t xml:space="preserve"> on </w:t>
            </w:r>
            <w:r w:rsidR="004D0BB4">
              <w:rPr>
                <w:rFonts w:cstheme="minorHAnsi"/>
              </w:rPr>
              <w:t>meaningful consumer involvement.</w:t>
            </w:r>
          </w:p>
          <w:p w:rsidR="00022A29" w:rsidRDefault="00022A29" w:rsidP="006F2FDF">
            <w:pPr>
              <w:rPr>
                <w:rFonts w:cstheme="minorHAnsi"/>
              </w:rPr>
            </w:pPr>
          </w:p>
          <w:p w:rsidR="00022A29" w:rsidRDefault="00433786" w:rsidP="006F2FDF">
            <w:pPr>
              <w:rPr>
                <w:rFonts w:cstheme="minorHAnsi"/>
              </w:rPr>
            </w:pPr>
            <w:r>
              <w:rPr>
                <w:rFonts w:cstheme="minorHAnsi"/>
              </w:rPr>
              <w:lastRenderedPageBreak/>
              <w:t>Other</w:t>
            </w:r>
            <w:r w:rsidR="00022A29">
              <w:rPr>
                <w:rFonts w:cstheme="minorHAnsi"/>
              </w:rPr>
              <w:t xml:space="preserve"> Steering Committee</w:t>
            </w:r>
            <w:r>
              <w:rPr>
                <w:rFonts w:cstheme="minorHAnsi"/>
              </w:rPr>
              <w:t xml:space="preserve"> updates:  </w:t>
            </w:r>
          </w:p>
          <w:p w:rsidR="00022A29" w:rsidRDefault="00022A29" w:rsidP="006F2FDF">
            <w:pPr>
              <w:rPr>
                <w:rFonts w:ascii="Calibri" w:hAnsi="Calibri" w:cs="Calibri"/>
                <w:color w:val="000000"/>
              </w:rPr>
            </w:pPr>
            <w:r>
              <w:rPr>
                <w:rFonts w:ascii="Calibri" w:hAnsi="Calibri" w:cs="Calibri"/>
                <w:color w:val="000000"/>
              </w:rPr>
              <w:t>Discussion on the topic of utilizing the SIM Governance structure to develop a Statewide data interoperability roadmap for recommendation to State leadership.</w:t>
            </w:r>
          </w:p>
          <w:p w:rsidR="00022A29" w:rsidRDefault="00022A29" w:rsidP="00022A29">
            <w:pPr>
              <w:autoSpaceDE w:val="0"/>
              <w:autoSpaceDN w:val="0"/>
              <w:adjustRightInd w:val="0"/>
              <w:rPr>
                <w:rFonts w:ascii="Calibri" w:hAnsi="Calibri" w:cs="Calibri"/>
                <w:color w:val="000000"/>
              </w:rPr>
            </w:pPr>
          </w:p>
          <w:p w:rsidR="00022A29" w:rsidRDefault="00022A29" w:rsidP="00022A29">
            <w:pPr>
              <w:autoSpaceDE w:val="0"/>
              <w:autoSpaceDN w:val="0"/>
              <w:adjustRightInd w:val="0"/>
              <w:rPr>
                <w:rFonts w:ascii="Calibri" w:hAnsi="Calibri" w:cs="Calibri"/>
                <w:color w:val="000000"/>
              </w:rPr>
            </w:pPr>
            <w:r>
              <w:rPr>
                <w:rFonts w:ascii="Calibri" w:hAnsi="Calibri" w:cs="Calibri"/>
                <w:color w:val="000000"/>
              </w:rPr>
              <w:t xml:space="preserve">Lewin presented highlights of their evaluation plan for Maine’s SIM grants as well as a providing an example of the SIM core metric dashboard.  </w:t>
            </w:r>
          </w:p>
          <w:p w:rsidR="004D0BB4" w:rsidRDefault="00022A29" w:rsidP="00022A29">
            <w:pPr>
              <w:autoSpaceDE w:val="0"/>
              <w:autoSpaceDN w:val="0"/>
              <w:adjustRightInd w:val="0"/>
              <w:rPr>
                <w:rFonts w:cstheme="minorHAnsi"/>
              </w:rPr>
            </w:pPr>
            <w:r>
              <w:rPr>
                <w:rFonts w:ascii="Calibri" w:hAnsi="Calibri" w:cs="Calibri"/>
                <w:color w:val="000000"/>
              </w:rPr>
              <w:t>Three</w:t>
            </w:r>
            <w:r w:rsidR="004D0BB4">
              <w:rPr>
                <w:rFonts w:cstheme="minorHAnsi"/>
              </w:rPr>
              <w:t xml:space="preserve"> areas of </w:t>
            </w:r>
            <w:r>
              <w:rPr>
                <w:rFonts w:cstheme="minorHAnsi"/>
              </w:rPr>
              <w:t xml:space="preserve">evaluation </w:t>
            </w:r>
            <w:r w:rsidR="004D0BB4">
              <w:rPr>
                <w:rFonts w:cstheme="minorHAnsi"/>
              </w:rPr>
              <w:t>focus: process &amp; implementation, cost effectiveness, and outcomes</w:t>
            </w:r>
          </w:p>
          <w:p w:rsidR="004D0BB4" w:rsidRDefault="004D0BB4" w:rsidP="006F2FDF">
            <w:pPr>
              <w:rPr>
                <w:rFonts w:cstheme="minorHAnsi"/>
              </w:rPr>
            </w:pPr>
            <w:r>
              <w:rPr>
                <w:rFonts w:cstheme="minorHAnsi"/>
              </w:rPr>
              <w:t>L</w:t>
            </w:r>
            <w:r w:rsidR="00022A29">
              <w:rPr>
                <w:rFonts w:cstheme="minorHAnsi"/>
              </w:rPr>
              <w:t>eadership Development Program has</w:t>
            </w:r>
            <w:r>
              <w:rPr>
                <w:rFonts w:cstheme="minorHAnsi"/>
              </w:rPr>
              <w:t xml:space="preserve"> contracted with the Hanley Group</w:t>
            </w:r>
          </w:p>
          <w:p w:rsidR="004D0BB4" w:rsidRDefault="004D0BB4" w:rsidP="006F2FDF">
            <w:pPr>
              <w:rPr>
                <w:rFonts w:cstheme="minorHAnsi"/>
              </w:rPr>
            </w:pPr>
          </w:p>
          <w:p w:rsidR="00C26F5B" w:rsidRDefault="004D0BB4" w:rsidP="006F2FDF">
            <w:pPr>
              <w:rPr>
                <w:rFonts w:cstheme="minorHAnsi"/>
              </w:rPr>
            </w:pPr>
            <w:r>
              <w:rPr>
                <w:rFonts w:cstheme="minorHAnsi"/>
              </w:rPr>
              <w:t xml:space="preserve">Disability Risk:  Dennis shared the status of identifying the risk of people’s with </w:t>
            </w:r>
            <w:r w:rsidR="00C26F5B">
              <w:rPr>
                <w:rFonts w:cstheme="minorHAnsi"/>
              </w:rPr>
              <w:t xml:space="preserve">a range of </w:t>
            </w:r>
            <w:r>
              <w:rPr>
                <w:rFonts w:cstheme="minorHAnsi"/>
              </w:rPr>
              <w:t>di</w:t>
            </w:r>
            <w:r w:rsidR="00C26F5B">
              <w:rPr>
                <w:rFonts w:cstheme="minorHAnsi"/>
              </w:rPr>
              <w:t xml:space="preserve">sabilities do not receive care equal to non-disabled people.  </w:t>
            </w:r>
          </w:p>
          <w:p w:rsidR="00C26F5B" w:rsidRDefault="00C26F5B" w:rsidP="006F2FDF">
            <w:pPr>
              <w:rPr>
                <w:rFonts w:cstheme="minorHAnsi"/>
              </w:rPr>
            </w:pPr>
            <w:r>
              <w:rPr>
                <w:rFonts w:cstheme="minorHAnsi"/>
              </w:rPr>
              <w:t>Examples:</w:t>
            </w:r>
          </w:p>
          <w:p w:rsidR="00C26F5B" w:rsidRDefault="00C26F5B" w:rsidP="006F2FDF">
            <w:pPr>
              <w:rPr>
                <w:rFonts w:cstheme="minorHAnsi"/>
              </w:rPr>
            </w:pPr>
            <w:r>
              <w:rPr>
                <w:rFonts w:cstheme="minorHAnsi"/>
              </w:rPr>
              <w:t xml:space="preserve"> </w:t>
            </w:r>
            <w:proofErr w:type="gramStart"/>
            <w:r>
              <w:rPr>
                <w:rFonts w:cstheme="minorHAnsi"/>
              </w:rPr>
              <w:t>lack</w:t>
            </w:r>
            <w:proofErr w:type="gramEnd"/>
            <w:r>
              <w:rPr>
                <w:rFonts w:cstheme="minorHAnsi"/>
              </w:rPr>
              <w:t xml:space="preserve"> of information</w:t>
            </w:r>
            <w:r w:rsidR="00022A29" w:rsidRPr="00022A29">
              <w:rPr>
                <w:rFonts w:cstheme="minorHAnsi"/>
              </w:rPr>
              <w:t>/communication in acces</w:t>
            </w:r>
            <w:r>
              <w:rPr>
                <w:rFonts w:cstheme="minorHAnsi"/>
              </w:rPr>
              <w:t>s</w:t>
            </w:r>
            <w:r w:rsidR="00022A29" w:rsidRPr="00022A29">
              <w:rPr>
                <w:rFonts w:cstheme="minorHAnsi"/>
              </w:rPr>
              <w:t xml:space="preserve">ible formats; inaccessible exam tables, lack of accessible scales, mammography equipment; additional time for primary care and other visits, etc.  </w:t>
            </w:r>
          </w:p>
          <w:p w:rsidR="000943DC" w:rsidRDefault="00C26F5B" w:rsidP="00C26F5B">
            <w:pPr>
              <w:rPr>
                <w:rFonts w:cstheme="minorHAnsi"/>
              </w:rPr>
            </w:pPr>
            <w:r>
              <w:rPr>
                <w:rFonts w:cstheme="minorHAnsi"/>
              </w:rPr>
              <w:t>T</w:t>
            </w:r>
            <w:r w:rsidRPr="00C26F5B">
              <w:rPr>
                <w:rFonts w:cstheme="minorHAnsi"/>
              </w:rPr>
              <w:t>he system will be at risk of civil rights violations and law suits AND people with disabilities will continue to experience unnecessary and preventable primary, secondary and tertiary conditions resulting in high systemic costs</w:t>
            </w:r>
            <w:r>
              <w:rPr>
                <w:rFonts w:cstheme="minorHAnsi"/>
              </w:rPr>
              <w:t>.</w:t>
            </w:r>
          </w:p>
          <w:p w:rsidR="00C26F5B" w:rsidRDefault="00C26F5B" w:rsidP="00C26F5B">
            <w:pPr>
              <w:rPr>
                <w:rFonts w:cstheme="minorHAnsi"/>
              </w:rPr>
            </w:pPr>
            <w:r>
              <w:rPr>
                <w:rFonts w:cstheme="minorHAnsi"/>
              </w:rPr>
              <w:t xml:space="preserve">The next steps are to finalize the risk template to include alignment with SIM </w:t>
            </w:r>
            <w:r>
              <w:rPr>
                <w:rFonts w:cstheme="minorHAnsi"/>
              </w:rPr>
              <w:lastRenderedPageBreak/>
              <w:t>Objectives and apply weighting criteria.</w:t>
            </w:r>
          </w:p>
          <w:p w:rsidR="00C26F5B" w:rsidRPr="00382C14" w:rsidRDefault="00C26F5B" w:rsidP="00C26F5B">
            <w:pPr>
              <w:rPr>
                <w:rFonts w:cstheme="minorHAnsi"/>
              </w:rPr>
            </w:pPr>
          </w:p>
        </w:tc>
        <w:tc>
          <w:tcPr>
            <w:tcW w:w="2790" w:type="dxa"/>
          </w:tcPr>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022A29" w:rsidRDefault="00022A29" w:rsidP="00A3329A">
            <w:pPr>
              <w:contextualSpacing/>
              <w:rPr>
                <w:b/>
              </w:rPr>
            </w:pPr>
          </w:p>
          <w:p w:rsidR="009A674E" w:rsidRPr="00382C14" w:rsidRDefault="004D0BB4" w:rsidP="00A3329A">
            <w:pPr>
              <w:contextualSpacing/>
              <w:rPr>
                <w:rFonts w:cstheme="minorHAnsi"/>
                <w:b/>
              </w:rPr>
            </w:pPr>
            <w:r>
              <w:rPr>
                <w:b/>
              </w:rPr>
              <w:t>Invite Lewin to March meeting</w:t>
            </w:r>
          </w:p>
          <w:p w:rsidR="000A6C66" w:rsidRDefault="000A6C66" w:rsidP="0061044D">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022A29" w:rsidRDefault="00022A29" w:rsidP="00F97DA7">
            <w:pPr>
              <w:rPr>
                <w:rFonts w:cstheme="minorHAnsi"/>
                <w:b/>
              </w:rPr>
            </w:pPr>
          </w:p>
          <w:p w:rsidR="00F97DA7" w:rsidRPr="00382C14" w:rsidRDefault="003264CE" w:rsidP="00F97DA7">
            <w:pPr>
              <w:rPr>
                <w:rFonts w:cstheme="minorHAnsi"/>
                <w:b/>
              </w:rPr>
            </w:pPr>
            <w:r>
              <w:rPr>
                <w:rFonts w:cstheme="minorHAnsi"/>
                <w:b/>
              </w:rPr>
              <w:t xml:space="preserve">Disability Risk: </w:t>
            </w:r>
            <w:r w:rsidR="00F97DA7">
              <w:rPr>
                <w:rFonts w:cstheme="minorHAnsi"/>
                <w:b/>
              </w:rPr>
              <w:t>Convene meeting with Risk Identifier and experts to frame up risk.</w:t>
            </w:r>
          </w:p>
        </w:tc>
      </w:tr>
      <w:tr w:rsidR="000A6C66" w:rsidRPr="00382C14" w:rsidTr="001D798E">
        <w:tc>
          <w:tcPr>
            <w:tcW w:w="3708" w:type="dxa"/>
          </w:tcPr>
          <w:p w:rsidR="000A6C66" w:rsidRDefault="00794936" w:rsidP="000943DC">
            <w:pPr>
              <w:pStyle w:val="ListParagraph"/>
              <w:numPr>
                <w:ilvl w:val="0"/>
                <w:numId w:val="1"/>
              </w:numPr>
              <w:rPr>
                <w:rFonts w:asciiTheme="minorHAnsi" w:hAnsiTheme="minorHAnsi"/>
                <w:b/>
              </w:rPr>
            </w:pPr>
            <w:r>
              <w:rPr>
                <w:rFonts w:asciiTheme="minorHAnsi" w:hAnsiTheme="minorHAnsi"/>
                <w:b/>
              </w:rPr>
              <w:lastRenderedPageBreak/>
              <w:t>Risk/Dependencies</w:t>
            </w:r>
          </w:p>
          <w:p w:rsidR="000943DC" w:rsidRDefault="000943DC" w:rsidP="000943DC">
            <w:pPr>
              <w:pStyle w:val="ListParagraph"/>
              <w:ind w:left="360"/>
              <w:rPr>
                <w:rFonts w:asciiTheme="minorHAnsi" w:hAnsiTheme="minorHAnsi" w:cstheme="minorHAnsi"/>
                <w:b/>
              </w:rPr>
            </w:pPr>
            <w:r>
              <w:rPr>
                <w:rFonts w:asciiTheme="minorHAnsi" w:hAnsiTheme="minorHAnsi" w:cstheme="minorHAnsi"/>
                <w:b/>
              </w:rPr>
              <w:t>Care Coordination</w:t>
            </w:r>
          </w:p>
          <w:p w:rsidR="000943DC" w:rsidRDefault="000943DC" w:rsidP="000943DC">
            <w:pPr>
              <w:pStyle w:val="ListParagraph"/>
              <w:numPr>
                <w:ilvl w:val="1"/>
                <w:numId w:val="1"/>
              </w:numPr>
              <w:rPr>
                <w:rFonts w:asciiTheme="minorHAnsi" w:hAnsiTheme="minorHAnsi" w:cstheme="minorHAnsi"/>
                <w:b/>
              </w:rPr>
            </w:pPr>
            <w:r>
              <w:rPr>
                <w:rFonts w:asciiTheme="minorHAnsi" w:hAnsiTheme="minorHAnsi" w:cstheme="minorHAnsi"/>
                <w:b/>
              </w:rPr>
              <w:t>Recommendation for focused pilot on shared care plan using existing HIE Tools</w:t>
            </w:r>
          </w:p>
          <w:p w:rsidR="000943DC" w:rsidRDefault="000943DC" w:rsidP="000943DC">
            <w:pPr>
              <w:rPr>
                <w:rFonts w:cstheme="minorHAnsi"/>
                <w:b/>
              </w:rPr>
            </w:pPr>
          </w:p>
          <w:p w:rsidR="000943DC" w:rsidRPr="000943DC" w:rsidRDefault="000943DC" w:rsidP="000943DC">
            <w:pPr>
              <w:pStyle w:val="Formal1"/>
              <w:spacing w:after="0"/>
              <w:rPr>
                <w:rFonts w:asciiTheme="minorHAnsi" w:hAnsiTheme="minorHAnsi" w:cstheme="minorHAnsi"/>
                <w:b/>
                <w:sz w:val="22"/>
                <w:szCs w:val="22"/>
              </w:rPr>
            </w:pPr>
            <w:r>
              <w:rPr>
                <w:rFonts w:asciiTheme="minorHAnsi" w:hAnsiTheme="minorHAnsi" w:cstheme="minorHAnsi"/>
                <w:b/>
                <w:sz w:val="22"/>
                <w:szCs w:val="22"/>
              </w:rPr>
              <w:t>Expected Actions:  Status Updates</w:t>
            </w:r>
          </w:p>
          <w:p w:rsidR="00366684" w:rsidRPr="000943DC" w:rsidRDefault="00307654" w:rsidP="000943DC">
            <w:pPr>
              <w:pStyle w:val="ListParagraph"/>
              <w:ind w:left="360"/>
              <w:rPr>
                <w:rFonts w:asciiTheme="minorHAnsi" w:hAnsiTheme="minorHAnsi"/>
                <w:b/>
              </w:rPr>
            </w:pPr>
            <w:r>
              <w:rPr>
                <w:rFonts w:asciiTheme="minorHAnsi" w:hAnsiTheme="minorHAnsi"/>
                <w:b/>
              </w:rPr>
              <w:t xml:space="preserve"> </w:t>
            </w:r>
          </w:p>
        </w:tc>
        <w:tc>
          <w:tcPr>
            <w:tcW w:w="1620" w:type="dxa"/>
          </w:tcPr>
          <w:p w:rsidR="000C5E04" w:rsidRPr="00382C14" w:rsidRDefault="000943DC" w:rsidP="00CA513B">
            <w:pPr>
              <w:rPr>
                <w:b/>
              </w:rPr>
            </w:pPr>
            <w:r>
              <w:rPr>
                <w:b/>
              </w:rPr>
              <w:t>Committee Sub-Group 11:30 (15 min)</w:t>
            </w:r>
          </w:p>
          <w:p w:rsidR="000C5E04" w:rsidRPr="00382C14" w:rsidRDefault="000C5E04" w:rsidP="00CA513B">
            <w:pPr>
              <w:rPr>
                <w:b/>
              </w:rPr>
            </w:pPr>
          </w:p>
        </w:tc>
        <w:tc>
          <w:tcPr>
            <w:tcW w:w="4050" w:type="dxa"/>
          </w:tcPr>
          <w:p w:rsidR="00C26F5B" w:rsidRDefault="00845764" w:rsidP="009D0255">
            <w:pPr>
              <w:contextualSpacing/>
            </w:pPr>
            <w:r>
              <w:t>Status update from Julie Sh</w:t>
            </w:r>
            <w:r w:rsidR="00F97DA7">
              <w:t>a</w:t>
            </w:r>
            <w:r>
              <w:t>c</w:t>
            </w:r>
            <w:r w:rsidR="00F97DA7">
              <w:t xml:space="preserve">kley.  Using </w:t>
            </w:r>
            <w:r w:rsidR="00C26F5B">
              <w:t>Julie Shackley gave a status update on the small group work on Care Coordination Pilot.</w:t>
            </w:r>
          </w:p>
          <w:p w:rsidR="00205ACD" w:rsidRDefault="00C26F5B" w:rsidP="009D0255">
            <w:pPr>
              <w:contextualSpacing/>
            </w:pPr>
            <w:r>
              <w:t>A Draft Charter has been developed with n</w:t>
            </w:r>
            <w:r w:rsidR="00F97DA7">
              <w:t xml:space="preserve">ext steps </w:t>
            </w:r>
            <w:r w:rsidR="0016445D">
              <w:t>of a smaller group to finalize.</w:t>
            </w:r>
            <w:r w:rsidR="00F97DA7">
              <w:t xml:space="preserve"> </w:t>
            </w:r>
          </w:p>
          <w:p w:rsidR="00F97DA7" w:rsidRDefault="00A63CB1" w:rsidP="009D0255">
            <w:pPr>
              <w:contextualSpacing/>
            </w:pPr>
            <w:r>
              <w:t>Once is go</w:t>
            </w:r>
            <w:r w:rsidR="00F97DA7">
              <w:t xml:space="preserve">es out to full sub group, Julie will then take the scope to CMMC leadership.  She is optimistic </w:t>
            </w:r>
            <w:r w:rsidR="0016445D">
              <w:t>that</w:t>
            </w:r>
            <w:r>
              <w:t xml:space="preserve"> it will be se</w:t>
            </w:r>
            <w:r w:rsidR="00F97DA7">
              <w:t>en as positive.</w:t>
            </w:r>
          </w:p>
          <w:p w:rsidR="00F97DA7" w:rsidRDefault="0016445D" w:rsidP="009D0255">
            <w:pPr>
              <w:contextualSpacing/>
            </w:pPr>
            <w:r>
              <w:t xml:space="preserve">The subcommittee </w:t>
            </w:r>
            <w:r w:rsidR="00845764">
              <w:t>considered applying for a grant for this work, but since determined that the fit wasn’t appropriate.</w:t>
            </w:r>
          </w:p>
          <w:p w:rsidR="00A63CB1" w:rsidRDefault="0016445D" w:rsidP="009D0255">
            <w:pPr>
              <w:contextualSpacing/>
            </w:pPr>
            <w:r>
              <w:t>Upon a f</w:t>
            </w:r>
            <w:r w:rsidR="00A63CB1">
              <w:t>inal</w:t>
            </w:r>
            <w:r>
              <w:t>ized endorsed recommendation from</w:t>
            </w:r>
            <w:r w:rsidR="00A63CB1">
              <w:t xml:space="preserve"> the DSR</w:t>
            </w:r>
            <w:r>
              <w:t xml:space="preserve"> subcommittee, will present </w:t>
            </w:r>
            <w:r w:rsidR="00A63CB1">
              <w:t xml:space="preserve">to the Steering Committee for approval.  </w:t>
            </w:r>
          </w:p>
          <w:p w:rsidR="0016445D" w:rsidRDefault="0016445D" w:rsidP="009D0255">
            <w:pPr>
              <w:contextualSpacing/>
            </w:pPr>
          </w:p>
          <w:p w:rsidR="00A63CB1" w:rsidRDefault="00A63CB1" w:rsidP="009D0255">
            <w:pPr>
              <w:contextualSpacing/>
            </w:pPr>
            <w:r>
              <w:t>Barbara Ginley gav</w:t>
            </w:r>
            <w:r w:rsidR="0016445D">
              <w:t>e a brief update on CHW Pilots on a</w:t>
            </w:r>
            <w:r>
              <w:t xml:space="preserve">ctivity over the last few months since the pilots were selected.  Four pilots </w:t>
            </w:r>
            <w:r w:rsidR="004B7ACB">
              <w:t xml:space="preserve">have been </w:t>
            </w:r>
            <w:r>
              <w:t>funded.  8 CHW hired and all completed a 43 hour core competency training that was conducted with an org</w:t>
            </w:r>
            <w:r w:rsidR="004B7ACB">
              <w:t>anization</w:t>
            </w:r>
            <w:r>
              <w:t xml:space="preserve"> out of Worcester, MA.  Year 2 will look at making standardized training for CHW’s.  </w:t>
            </w:r>
          </w:p>
          <w:p w:rsidR="00A63CB1" w:rsidRDefault="004B7ACB" w:rsidP="009D0255">
            <w:pPr>
              <w:contextualSpacing/>
            </w:pPr>
            <w:r>
              <w:t>They a</w:t>
            </w:r>
            <w:r w:rsidR="00A63CB1">
              <w:t xml:space="preserve">lso opened the training to prospective CHW’s who wanted to </w:t>
            </w:r>
            <w:r>
              <w:t xml:space="preserve">participate with the intent of </w:t>
            </w:r>
            <w:proofErr w:type="gramStart"/>
            <w:r>
              <w:t xml:space="preserve">making </w:t>
            </w:r>
            <w:r w:rsidR="00A63CB1">
              <w:t xml:space="preserve"> a</w:t>
            </w:r>
            <w:proofErr w:type="gramEnd"/>
            <w:r w:rsidR="00A63CB1">
              <w:t xml:space="preserve"> bigger impact with these initial steps.  </w:t>
            </w:r>
            <w:r>
              <w:t xml:space="preserve">A total of </w:t>
            </w:r>
            <w:r w:rsidR="00A63CB1">
              <w:t xml:space="preserve">17 </w:t>
            </w:r>
            <w:r>
              <w:t xml:space="preserve">have been </w:t>
            </w:r>
            <w:r w:rsidR="00A63CB1">
              <w:t xml:space="preserve">trained.  </w:t>
            </w:r>
          </w:p>
          <w:p w:rsidR="00A63CB1" w:rsidRDefault="00A63CB1" w:rsidP="009D0255">
            <w:pPr>
              <w:contextualSpacing/>
            </w:pPr>
            <w:r>
              <w:lastRenderedPageBreak/>
              <w:t>In order for a CHW to succe</w:t>
            </w:r>
            <w:r w:rsidR="007F17EC">
              <w:t>e</w:t>
            </w:r>
            <w:r>
              <w:t>d</w:t>
            </w:r>
            <w:r w:rsidR="004B7ACB">
              <w:t xml:space="preserve"> there</w:t>
            </w:r>
            <w:r>
              <w:t xml:space="preserve"> must be an adequate level of supervision, understanding the scope of th</w:t>
            </w:r>
            <w:r w:rsidR="004B7ACB">
              <w:t xml:space="preserve">e work, working with teams etc. </w:t>
            </w:r>
            <w:r>
              <w:t>12 hours of training for supervisors</w:t>
            </w:r>
            <w:r w:rsidR="004B7ACB">
              <w:t xml:space="preserve"> was completed.</w:t>
            </w:r>
          </w:p>
          <w:p w:rsidR="00A63CB1" w:rsidRDefault="007F17EC" w:rsidP="009D0255">
            <w:pPr>
              <w:contextualSpacing/>
            </w:pPr>
            <w:r>
              <w:t>Most of the direct care by CHW’s began at the end of November.  Monthly meetings will be done via phone to share case studies, tools being used, etc.</w:t>
            </w:r>
          </w:p>
          <w:p w:rsidR="007F17EC" w:rsidRDefault="007F17EC" w:rsidP="009D0255">
            <w:pPr>
              <w:contextualSpacing/>
            </w:pPr>
            <w:r>
              <w:t>January looking at sharing policies and p</w:t>
            </w:r>
            <w:r w:rsidR="004B7ACB">
              <w:t>rotocols as related to safety as m</w:t>
            </w:r>
            <w:r>
              <w:t>ost of the CHW work happens in the community.</w:t>
            </w:r>
          </w:p>
          <w:p w:rsidR="007F17EC" w:rsidRDefault="007F17EC" w:rsidP="009D0255">
            <w:pPr>
              <w:contextualSpacing/>
            </w:pPr>
            <w:r>
              <w:t>This is the work over the next 3-6 months.</w:t>
            </w:r>
          </w:p>
          <w:p w:rsidR="000943DC" w:rsidRDefault="000943DC" w:rsidP="009D0255">
            <w:pPr>
              <w:contextualSpacing/>
            </w:pPr>
          </w:p>
          <w:p w:rsidR="004B7ACB" w:rsidRDefault="004B7ACB" w:rsidP="009D0255">
            <w:pPr>
              <w:contextualSpacing/>
            </w:pPr>
            <w:r>
              <w:t xml:space="preserve">Risk 31:  “Discontinued reimbursement by </w:t>
            </w:r>
            <w:proofErr w:type="spellStart"/>
            <w:r>
              <w:t>MaineCare</w:t>
            </w:r>
            <w:proofErr w:type="spellEnd"/>
            <w:r>
              <w:t xml:space="preserve"> of H&amp;B code” is resolved!</w:t>
            </w:r>
          </w:p>
          <w:p w:rsidR="00916453" w:rsidRDefault="00916453" w:rsidP="00916453">
            <w:pPr>
              <w:rPr>
                <w:rFonts w:ascii="Calibri" w:hAnsi="Calibri"/>
                <w:color w:val="000000"/>
              </w:rPr>
            </w:pPr>
            <w:proofErr w:type="spellStart"/>
            <w:r>
              <w:rPr>
                <w:rFonts w:ascii="Calibri" w:hAnsi="Calibri"/>
                <w:color w:val="000000"/>
              </w:rPr>
              <w:t>MaineCare</w:t>
            </w:r>
            <w:proofErr w:type="spellEnd"/>
            <w:r>
              <w:rPr>
                <w:rFonts w:ascii="Calibri" w:hAnsi="Calibri"/>
                <w:color w:val="000000"/>
              </w:rPr>
              <w:t xml:space="preserve"> will reinstate H&amp;B Codes in computer system so primary care practices are again supported to provide integrated care. This is not a new expenditure since they used to pay. Other payers have found that use of H&amp;B codes reduces overall health care costs. </w:t>
            </w:r>
          </w:p>
          <w:p w:rsidR="000943DC" w:rsidRDefault="00916453" w:rsidP="009D0255">
            <w:pPr>
              <w:contextualSpacing/>
            </w:pPr>
            <w:r>
              <w:t xml:space="preserve"> </w:t>
            </w:r>
          </w:p>
          <w:p w:rsidR="007F17EC" w:rsidRDefault="007F17EC" w:rsidP="009D0255">
            <w:pPr>
              <w:contextualSpacing/>
            </w:pPr>
            <w:r>
              <w:t>Payment Reform Subcommittee approved payment criteria, total cost index</w:t>
            </w:r>
            <w:r w:rsidR="0028018E">
              <w:t>.  Can DSR see those criteria and metrics?</w:t>
            </w:r>
          </w:p>
          <w:p w:rsidR="0028018E" w:rsidRPr="00382C14" w:rsidRDefault="00845764" w:rsidP="009D0255">
            <w:pPr>
              <w:contextualSpacing/>
            </w:pPr>
            <w:r>
              <w:t>Ellen S. forwarded  material which will be distributed to DSR</w:t>
            </w:r>
            <w:r w:rsidR="0028018E">
              <w:t xml:space="preserve">  </w:t>
            </w:r>
          </w:p>
        </w:tc>
        <w:tc>
          <w:tcPr>
            <w:tcW w:w="2790" w:type="dxa"/>
          </w:tcPr>
          <w:p w:rsidR="000A6C66" w:rsidRDefault="000A6C66"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p>
          <w:p w:rsidR="007F17EC" w:rsidRDefault="007F17EC" w:rsidP="00CA513B">
            <w:pPr>
              <w:rPr>
                <w:b/>
              </w:rPr>
            </w:pPr>
            <w:r>
              <w:rPr>
                <w:b/>
              </w:rPr>
              <w:t>CHW Status Update will return on April 8</w:t>
            </w:r>
            <w:r w:rsidRPr="00845764">
              <w:rPr>
                <w:b/>
                <w:vertAlign w:val="superscript"/>
              </w:rPr>
              <w:t>th</w:t>
            </w: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Default="00845764" w:rsidP="00CA513B">
            <w:pPr>
              <w:rPr>
                <w:b/>
              </w:rPr>
            </w:pPr>
          </w:p>
          <w:p w:rsidR="00845764" w:rsidRPr="00382C14" w:rsidRDefault="00845764" w:rsidP="00CA513B">
            <w:pPr>
              <w:rPr>
                <w:b/>
              </w:rPr>
            </w:pPr>
            <w:r>
              <w:rPr>
                <w:b/>
              </w:rPr>
              <w:t>Distribute slide deck forwarded by Ellen S. to Subcommittee</w:t>
            </w:r>
          </w:p>
        </w:tc>
      </w:tr>
      <w:tr w:rsidR="00DC45C1" w:rsidRPr="00382C14" w:rsidTr="001D798E">
        <w:tc>
          <w:tcPr>
            <w:tcW w:w="3708" w:type="dxa"/>
          </w:tcPr>
          <w:p w:rsidR="00205ACD" w:rsidRDefault="00317EB4" w:rsidP="00916453">
            <w:pPr>
              <w:pStyle w:val="ListParagraph"/>
              <w:numPr>
                <w:ilvl w:val="0"/>
                <w:numId w:val="1"/>
              </w:numPr>
              <w:rPr>
                <w:rFonts w:asciiTheme="minorHAnsi" w:hAnsiTheme="minorHAnsi"/>
                <w:b/>
              </w:rPr>
            </w:pPr>
            <w:r>
              <w:rPr>
                <w:rFonts w:asciiTheme="minorHAnsi" w:hAnsiTheme="minorHAnsi"/>
                <w:b/>
              </w:rPr>
              <w:lastRenderedPageBreak/>
              <w:t>Interested Parties Public Comment</w:t>
            </w:r>
          </w:p>
          <w:p w:rsidR="00916453" w:rsidRPr="00916453" w:rsidRDefault="00916453" w:rsidP="00916453">
            <w:pPr>
              <w:pStyle w:val="ListParagraph"/>
              <w:numPr>
                <w:ilvl w:val="0"/>
                <w:numId w:val="1"/>
              </w:numPr>
              <w:rPr>
                <w:rFonts w:asciiTheme="minorHAnsi" w:hAnsiTheme="minorHAnsi"/>
                <w:b/>
              </w:rPr>
            </w:pPr>
          </w:p>
        </w:tc>
        <w:tc>
          <w:tcPr>
            <w:tcW w:w="1620" w:type="dxa"/>
          </w:tcPr>
          <w:p w:rsidR="00DC45C1" w:rsidRDefault="00DC45C1" w:rsidP="00CA513B">
            <w:pPr>
              <w:rPr>
                <w:b/>
              </w:rPr>
            </w:pPr>
            <w:r>
              <w:rPr>
                <w:b/>
              </w:rPr>
              <w:t>All</w:t>
            </w:r>
            <w:r w:rsidR="000943DC">
              <w:rPr>
                <w:b/>
              </w:rPr>
              <w:t xml:space="preserve"> </w:t>
            </w:r>
          </w:p>
          <w:p w:rsidR="00317EB4" w:rsidRPr="00382C14" w:rsidRDefault="000943DC" w:rsidP="00CA513B">
            <w:pPr>
              <w:rPr>
                <w:b/>
              </w:rPr>
            </w:pPr>
            <w:r>
              <w:rPr>
                <w:b/>
              </w:rPr>
              <w:t>11:45 (5 min)</w:t>
            </w:r>
          </w:p>
        </w:tc>
        <w:tc>
          <w:tcPr>
            <w:tcW w:w="4050" w:type="dxa"/>
          </w:tcPr>
          <w:p w:rsidR="00205ACD" w:rsidRDefault="00916453" w:rsidP="00DC45C1">
            <w:pPr>
              <w:rPr>
                <w:b/>
              </w:rPr>
            </w:pPr>
            <w:r>
              <w:rPr>
                <w:b/>
              </w:rPr>
              <w:t>NONE</w:t>
            </w:r>
          </w:p>
        </w:tc>
        <w:tc>
          <w:tcPr>
            <w:tcW w:w="2790" w:type="dxa"/>
          </w:tcPr>
          <w:p w:rsidR="00DC45C1" w:rsidRPr="00382C14" w:rsidRDefault="00DC45C1" w:rsidP="00CA513B">
            <w:pPr>
              <w:rPr>
                <w:b/>
              </w:rPr>
            </w:pPr>
            <w:bookmarkStart w:id="0" w:name="_GoBack"/>
            <w:bookmarkEnd w:id="0"/>
          </w:p>
        </w:tc>
      </w:tr>
      <w:tr w:rsidR="000A6C66" w:rsidRPr="00382C14" w:rsidTr="001D798E">
        <w:tc>
          <w:tcPr>
            <w:tcW w:w="3708" w:type="dxa"/>
          </w:tcPr>
          <w:p w:rsidR="000A6C66" w:rsidRPr="00382C14" w:rsidRDefault="00317EB4" w:rsidP="00752238">
            <w:pPr>
              <w:pStyle w:val="ListParagraph"/>
              <w:numPr>
                <w:ilvl w:val="0"/>
                <w:numId w:val="1"/>
              </w:numPr>
              <w:rPr>
                <w:rFonts w:asciiTheme="minorHAnsi" w:hAnsiTheme="minorHAnsi"/>
                <w:b/>
              </w:rPr>
            </w:pPr>
            <w:r>
              <w:rPr>
                <w:rFonts w:asciiTheme="minorHAnsi" w:hAnsiTheme="minorHAnsi"/>
                <w:b/>
              </w:rPr>
              <w:t>Evaluation</w:t>
            </w:r>
          </w:p>
        </w:tc>
        <w:tc>
          <w:tcPr>
            <w:tcW w:w="1620" w:type="dxa"/>
          </w:tcPr>
          <w:p w:rsidR="000A6C66" w:rsidRDefault="000A6C66" w:rsidP="00CA513B">
            <w:pPr>
              <w:rPr>
                <w:b/>
              </w:rPr>
            </w:pPr>
            <w:r w:rsidRPr="00382C14">
              <w:rPr>
                <w:b/>
              </w:rPr>
              <w:t>All</w:t>
            </w:r>
          </w:p>
          <w:p w:rsidR="000943DC" w:rsidRPr="00382C14" w:rsidRDefault="000943DC" w:rsidP="00CA513B">
            <w:pPr>
              <w:rPr>
                <w:b/>
              </w:rPr>
            </w:pPr>
            <w:r>
              <w:rPr>
                <w:b/>
              </w:rPr>
              <w:t>11:50 (10 min)</w:t>
            </w:r>
          </w:p>
          <w:p w:rsidR="000C5E04" w:rsidRPr="00382C14" w:rsidRDefault="00307654" w:rsidP="00CA513B">
            <w:pPr>
              <w:rPr>
                <w:b/>
              </w:rPr>
            </w:pPr>
            <w:r>
              <w:rPr>
                <w:b/>
              </w:rPr>
              <w:lastRenderedPageBreak/>
              <w:t xml:space="preserve"> </w:t>
            </w:r>
          </w:p>
        </w:tc>
        <w:tc>
          <w:tcPr>
            <w:tcW w:w="4050" w:type="dxa"/>
          </w:tcPr>
          <w:p w:rsidR="000A6C66" w:rsidRDefault="00916453" w:rsidP="00CA513B">
            <w:pPr>
              <w:rPr>
                <w:b/>
              </w:rPr>
            </w:pPr>
            <w:r>
              <w:rPr>
                <w:b/>
              </w:rPr>
              <w:lastRenderedPageBreak/>
              <w:t>There were 30 people who participated in the meeting.</w:t>
            </w:r>
          </w:p>
          <w:p w:rsidR="00916453" w:rsidRDefault="00916453" w:rsidP="00CA513B">
            <w:r w:rsidRPr="00916453">
              <w:lastRenderedPageBreak/>
              <w:t>Evaluation results scored at 7-9</w:t>
            </w:r>
          </w:p>
          <w:p w:rsidR="00916453" w:rsidRDefault="00916453" w:rsidP="00CA513B">
            <w:r>
              <w:t xml:space="preserve">Subcommittee members felt overall that there was more in depth discussion and the meeting had good time management </w:t>
            </w:r>
            <w:r w:rsidR="00423D67">
              <w:t xml:space="preserve">and was </w:t>
            </w:r>
            <w:r>
              <w:t>well organized.</w:t>
            </w:r>
          </w:p>
          <w:p w:rsidR="00916453" w:rsidRPr="00382C14" w:rsidRDefault="00423D67" w:rsidP="00CA513B">
            <w:r>
              <w:t xml:space="preserve">Request to have speakers </w:t>
            </w:r>
            <w:r w:rsidR="00916453">
              <w:t>speak more slowly and to send meeting materials out sooner.</w:t>
            </w:r>
          </w:p>
        </w:tc>
        <w:tc>
          <w:tcPr>
            <w:tcW w:w="2790" w:type="dxa"/>
          </w:tcPr>
          <w:p w:rsidR="000A6C66" w:rsidRPr="00382C14" w:rsidRDefault="000A6C66" w:rsidP="00CA513B">
            <w:pPr>
              <w:rPr>
                <w:b/>
              </w:rPr>
            </w:pPr>
          </w:p>
        </w:tc>
      </w:tr>
      <w:tr w:rsidR="000A6C66" w:rsidRPr="00382C14" w:rsidTr="001D798E">
        <w:tc>
          <w:tcPr>
            <w:tcW w:w="3708" w:type="dxa"/>
          </w:tcPr>
          <w:p w:rsidR="000943DC" w:rsidRPr="00423D67" w:rsidRDefault="000943DC" w:rsidP="00423D67">
            <w:pPr>
              <w:rPr>
                <w:rStyle w:val="Strong"/>
              </w:rPr>
            </w:pPr>
            <w:r w:rsidRPr="00423D67">
              <w:rPr>
                <w:rStyle w:val="Strong"/>
              </w:rPr>
              <w:lastRenderedPageBreak/>
              <w:t>NO February Meeting</w:t>
            </w:r>
          </w:p>
          <w:p w:rsidR="007F17EC" w:rsidRPr="00423D67" w:rsidRDefault="000943DC" w:rsidP="00423D67">
            <w:pPr>
              <w:rPr>
                <w:b/>
              </w:rPr>
            </w:pPr>
            <w:r w:rsidRPr="00423D67">
              <w:rPr>
                <w:rStyle w:val="Strong"/>
                <w:b w:val="0"/>
              </w:rPr>
              <w:t xml:space="preserve">March Meeting: </w:t>
            </w:r>
            <w:proofErr w:type="spellStart"/>
            <w:r w:rsidRPr="00423D67">
              <w:rPr>
                <w:rStyle w:val="Strong"/>
                <w:b w:val="0"/>
              </w:rPr>
              <w:t>MaineCare</w:t>
            </w:r>
            <w:proofErr w:type="spellEnd"/>
            <w:r w:rsidRPr="00423D67">
              <w:rPr>
                <w:rStyle w:val="Strong"/>
                <w:b w:val="0"/>
              </w:rPr>
              <w:t xml:space="preserve"> Accountable </w:t>
            </w:r>
            <w:r w:rsidR="00423D67" w:rsidRPr="00423D67">
              <w:rPr>
                <w:rStyle w:val="Strong"/>
                <w:b w:val="0"/>
              </w:rPr>
              <w:t xml:space="preserve">Communities Initiative </w:t>
            </w:r>
            <w:r w:rsidRPr="00423D67">
              <w:rPr>
                <w:rStyle w:val="Strong"/>
                <w:b w:val="0"/>
              </w:rPr>
              <w:t>SIM Initiatives Updates</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F615E4"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F615E4">
        <w:rPr>
          <w:rFonts w:eastAsia="Times New Roman" w:cs="Times New Roman"/>
          <w:b/>
        </w:rPr>
        <w:t xml:space="preserve"> March 4, 2015</w:t>
      </w:r>
    </w:p>
    <w:p w:rsidR="00317EB4" w:rsidRDefault="00317EB4" w:rsidP="00752238">
      <w:pPr>
        <w:spacing w:after="0" w:line="240" w:lineRule="auto"/>
        <w:jc w:val="center"/>
        <w:rPr>
          <w:rFonts w:eastAsia="Times New Roman" w:cs="Times New Roman"/>
          <w:b/>
        </w:rPr>
      </w:pPr>
      <w:r>
        <w:rPr>
          <w:rFonts w:eastAsia="Times New Roman" w:cs="Times New Roman"/>
          <w:b/>
        </w:rPr>
        <w:t xml:space="preserve"> 10:00 </w:t>
      </w:r>
      <w:proofErr w:type="gramStart"/>
      <w:r>
        <w:rPr>
          <w:rFonts w:eastAsia="Times New Roman" w:cs="Times New Roman"/>
          <w:b/>
        </w:rPr>
        <w:t>am</w:t>
      </w:r>
      <w:proofErr w:type="gramEnd"/>
      <w:r>
        <w:rPr>
          <w:rFonts w:eastAsia="Times New Roman" w:cs="Times New Roman"/>
          <w:b/>
        </w:rPr>
        <w:t xml:space="preserve"> to </w:t>
      </w:r>
      <w:r w:rsidR="00F615E4">
        <w:rPr>
          <w:rFonts w:eastAsia="Times New Roman" w:cs="Times New Roman"/>
          <w:b/>
        </w:rPr>
        <w:t>Noon</w:t>
      </w:r>
      <w:r w:rsidR="00752238" w:rsidRPr="00382C14">
        <w:rPr>
          <w:rFonts w:eastAsia="Times New Roman" w:cs="Times New Roman"/>
          <w:b/>
        </w:rPr>
        <w:t xml:space="preserve"> </w:t>
      </w:r>
    </w:p>
    <w:p w:rsidR="002E77E0" w:rsidRPr="00382C14" w:rsidRDefault="00F615E4" w:rsidP="001F1605">
      <w:pPr>
        <w:spacing w:after="0" w:line="240" w:lineRule="auto"/>
        <w:jc w:val="center"/>
        <w:rPr>
          <w:rFonts w:eastAsia="Times New Roman" w:cs="Times New Roman"/>
          <w:b/>
        </w:rPr>
      </w:pPr>
      <w:r>
        <w:rPr>
          <w:rFonts w:eastAsia="Times New Roman" w:cs="Times New Roman"/>
          <w:b/>
        </w:rPr>
        <w:t>Location: TBD</w:t>
      </w:r>
    </w:p>
    <w:p w:rsidR="001D1B62" w:rsidRPr="00382C14" w:rsidRDefault="001D1B6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A25DD8">
        <w:tc>
          <w:tcPr>
            <w:tcW w:w="1068"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p w:rsidR="001521D1" w:rsidRPr="00382C14" w:rsidRDefault="001521D1" w:rsidP="00DC2ABE">
            <w:pPr>
              <w:rPr>
                <w:rFonts w:asciiTheme="minorHAnsi" w:hAnsiTheme="minorHAnsi"/>
                <w:b/>
                <w:sz w:val="22"/>
                <w:szCs w:val="22"/>
              </w:rPr>
            </w:pPr>
          </w:p>
        </w:tc>
        <w:tc>
          <w:tcPr>
            <w:tcW w:w="9871" w:type="dxa"/>
            <w:gridSpan w:val="3"/>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c>
          <w:tcPr>
            <w:tcW w:w="2323"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r>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0E6F2C" w:rsidRPr="008E38A8" w:rsidTr="0028018E">
        <w:tc>
          <w:tcPr>
            <w:tcW w:w="1068" w:type="dxa"/>
          </w:tcPr>
          <w:p w:rsidR="000E6F2C" w:rsidRDefault="000E6F2C" w:rsidP="0028018E"/>
          <w:p w:rsidR="000E6F2C" w:rsidRDefault="000E6F2C" w:rsidP="0028018E"/>
          <w:p w:rsidR="000E6F2C" w:rsidRDefault="000E6F2C" w:rsidP="0028018E"/>
        </w:tc>
        <w:tc>
          <w:tcPr>
            <w:tcW w:w="4844" w:type="dxa"/>
          </w:tcPr>
          <w:p w:rsidR="000E6F2C" w:rsidRDefault="000E6F2C" w:rsidP="0028018E"/>
        </w:tc>
        <w:tc>
          <w:tcPr>
            <w:tcW w:w="2942" w:type="dxa"/>
          </w:tcPr>
          <w:p w:rsidR="000E6F2C" w:rsidRPr="008E38A8" w:rsidRDefault="000E6F2C" w:rsidP="0028018E"/>
        </w:tc>
        <w:tc>
          <w:tcPr>
            <w:tcW w:w="2085" w:type="dxa"/>
          </w:tcPr>
          <w:p w:rsidR="000E6F2C" w:rsidRPr="008E38A8" w:rsidRDefault="000E6F2C" w:rsidP="0028018E">
            <w:pPr>
              <w:rPr>
                <w:b/>
              </w:rPr>
            </w:pPr>
          </w:p>
        </w:tc>
        <w:tc>
          <w:tcPr>
            <w:tcW w:w="2323" w:type="dxa"/>
          </w:tcPr>
          <w:p w:rsidR="000E6F2C" w:rsidRDefault="000E6F2C" w:rsidP="0028018E">
            <w:pPr>
              <w:rPr>
                <w:b/>
              </w:rPr>
            </w:pPr>
          </w:p>
        </w:tc>
      </w:tr>
      <w:tr w:rsidR="000153C7" w:rsidRPr="008E38A8" w:rsidTr="0028018E">
        <w:tc>
          <w:tcPr>
            <w:tcW w:w="1068" w:type="dxa"/>
          </w:tcPr>
          <w:p w:rsidR="000153C7" w:rsidRPr="008E38A8" w:rsidRDefault="000153C7" w:rsidP="0028018E">
            <w:pPr>
              <w:rPr>
                <w:rFonts w:asciiTheme="minorHAnsi" w:hAnsiTheme="minorHAnsi"/>
                <w:sz w:val="22"/>
                <w:szCs w:val="22"/>
              </w:rPr>
            </w:pPr>
            <w:r>
              <w:rPr>
                <w:rFonts w:asciiTheme="minorHAnsi" w:hAnsiTheme="minorHAnsi"/>
                <w:sz w:val="22"/>
                <w:szCs w:val="22"/>
              </w:rPr>
              <w:t>11/5/14</w:t>
            </w:r>
          </w:p>
          <w:p w:rsidR="000153C7" w:rsidRPr="008E38A8" w:rsidRDefault="000153C7" w:rsidP="0028018E">
            <w:pPr>
              <w:rPr>
                <w:rFonts w:asciiTheme="minorHAnsi" w:hAnsiTheme="minorHAnsi"/>
                <w:sz w:val="22"/>
                <w:szCs w:val="22"/>
              </w:rPr>
            </w:pPr>
          </w:p>
          <w:p w:rsidR="000153C7" w:rsidRPr="008E38A8" w:rsidRDefault="000153C7" w:rsidP="0028018E">
            <w:pPr>
              <w:rPr>
                <w:rFonts w:asciiTheme="minorHAnsi" w:hAnsiTheme="minorHAnsi"/>
                <w:sz w:val="22"/>
                <w:szCs w:val="22"/>
              </w:rPr>
            </w:pPr>
          </w:p>
        </w:tc>
        <w:tc>
          <w:tcPr>
            <w:tcW w:w="4844" w:type="dxa"/>
          </w:tcPr>
          <w:p w:rsidR="000153C7" w:rsidRPr="009F1633" w:rsidRDefault="000153C7" w:rsidP="0028018E">
            <w:pPr>
              <w:rPr>
                <w:rFonts w:asciiTheme="minorHAnsi" w:hAnsiTheme="minorHAnsi"/>
                <w:sz w:val="22"/>
                <w:szCs w:val="22"/>
              </w:rPr>
            </w:pPr>
            <w:r>
              <w:rPr>
                <w:rFonts w:asciiTheme="minorHAnsi" w:hAnsiTheme="minorHAnsi"/>
                <w:sz w:val="22"/>
                <w:szCs w:val="22"/>
              </w:rPr>
              <w:t>S</w:t>
            </w:r>
            <w:r w:rsidRPr="009F1633">
              <w:rPr>
                <w:rFonts w:asciiTheme="minorHAnsi" w:hAnsiTheme="minorHAnsi"/>
                <w:sz w:val="22"/>
                <w:szCs w:val="22"/>
              </w:rPr>
              <w:t xml:space="preserve">ystemic risk of the health care system of not offering adequate and equal care to people with disabilities.  </w:t>
            </w:r>
          </w:p>
        </w:tc>
        <w:tc>
          <w:tcPr>
            <w:tcW w:w="2942" w:type="dxa"/>
          </w:tcPr>
          <w:p w:rsidR="000153C7" w:rsidRPr="008E38A8" w:rsidRDefault="000153C7" w:rsidP="0028018E">
            <w:pPr>
              <w:rPr>
                <w:rFonts w:asciiTheme="minorHAnsi" w:hAnsiTheme="minorHAnsi"/>
                <w:sz w:val="22"/>
                <w:szCs w:val="22"/>
              </w:rPr>
            </w:pPr>
          </w:p>
        </w:tc>
        <w:tc>
          <w:tcPr>
            <w:tcW w:w="2085" w:type="dxa"/>
          </w:tcPr>
          <w:p w:rsidR="000153C7" w:rsidRPr="008E38A8" w:rsidRDefault="000153C7" w:rsidP="0028018E">
            <w:pPr>
              <w:rPr>
                <w:rFonts w:asciiTheme="minorHAnsi" w:hAnsiTheme="minorHAnsi"/>
                <w:b/>
                <w:sz w:val="22"/>
                <w:szCs w:val="22"/>
              </w:rPr>
            </w:pPr>
          </w:p>
        </w:tc>
        <w:tc>
          <w:tcPr>
            <w:tcW w:w="2323" w:type="dxa"/>
          </w:tcPr>
          <w:p w:rsidR="000153C7" w:rsidRPr="008E38A8" w:rsidRDefault="000153C7" w:rsidP="0028018E">
            <w:pPr>
              <w:rPr>
                <w:rFonts w:asciiTheme="minorHAnsi" w:hAnsiTheme="minorHAnsi"/>
                <w:b/>
                <w:sz w:val="22"/>
                <w:szCs w:val="22"/>
              </w:rPr>
            </w:pPr>
            <w:r>
              <w:rPr>
                <w:rFonts w:asciiTheme="minorHAnsi" w:hAnsiTheme="minorHAnsi"/>
                <w:b/>
                <w:sz w:val="22"/>
                <w:szCs w:val="22"/>
              </w:rPr>
              <w:t>Dennis Fitzgibbons</w:t>
            </w:r>
          </w:p>
        </w:tc>
      </w:tr>
      <w:tr w:rsidR="000153C7" w:rsidRPr="008E38A8" w:rsidTr="0028018E">
        <w:tc>
          <w:tcPr>
            <w:tcW w:w="1068" w:type="dxa"/>
          </w:tcPr>
          <w:p w:rsidR="000153C7" w:rsidRPr="008E38A8" w:rsidRDefault="000153C7" w:rsidP="0028018E">
            <w:pPr>
              <w:rPr>
                <w:rFonts w:asciiTheme="minorHAnsi" w:hAnsiTheme="minorHAnsi"/>
                <w:sz w:val="22"/>
                <w:szCs w:val="22"/>
              </w:rPr>
            </w:pPr>
            <w:r w:rsidRPr="008E38A8">
              <w:rPr>
                <w:rFonts w:asciiTheme="minorHAnsi" w:hAnsiTheme="minorHAnsi"/>
                <w:sz w:val="22"/>
                <w:szCs w:val="22"/>
              </w:rPr>
              <w:t>9/3/14</w:t>
            </w:r>
          </w:p>
          <w:p w:rsidR="000153C7" w:rsidRPr="008E38A8" w:rsidRDefault="000153C7" w:rsidP="0028018E">
            <w:pPr>
              <w:rPr>
                <w:rFonts w:asciiTheme="minorHAnsi" w:hAnsiTheme="minorHAnsi"/>
                <w:sz w:val="22"/>
                <w:szCs w:val="22"/>
              </w:rPr>
            </w:pPr>
          </w:p>
          <w:p w:rsidR="000153C7" w:rsidRPr="008E38A8" w:rsidRDefault="000153C7" w:rsidP="0028018E">
            <w:pPr>
              <w:rPr>
                <w:rFonts w:asciiTheme="minorHAnsi" w:hAnsiTheme="minorHAnsi"/>
                <w:sz w:val="22"/>
                <w:szCs w:val="22"/>
              </w:rPr>
            </w:pPr>
          </w:p>
        </w:tc>
        <w:tc>
          <w:tcPr>
            <w:tcW w:w="4844" w:type="dxa"/>
          </w:tcPr>
          <w:p w:rsidR="000153C7" w:rsidRPr="008E38A8" w:rsidRDefault="000153C7" w:rsidP="0028018E">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0153C7" w:rsidRPr="008E38A8" w:rsidRDefault="000153C7" w:rsidP="0028018E">
            <w:pPr>
              <w:rPr>
                <w:rFonts w:asciiTheme="minorHAnsi" w:hAnsiTheme="minorHAnsi"/>
                <w:sz w:val="22"/>
                <w:szCs w:val="22"/>
              </w:rPr>
            </w:pPr>
          </w:p>
        </w:tc>
        <w:tc>
          <w:tcPr>
            <w:tcW w:w="2085" w:type="dxa"/>
          </w:tcPr>
          <w:p w:rsidR="000153C7" w:rsidRPr="008E38A8" w:rsidRDefault="000153C7" w:rsidP="0028018E">
            <w:pPr>
              <w:rPr>
                <w:rFonts w:asciiTheme="minorHAnsi" w:hAnsiTheme="minorHAnsi"/>
                <w:b/>
                <w:sz w:val="22"/>
                <w:szCs w:val="22"/>
              </w:rPr>
            </w:pPr>
          </w:p>
        </w:tc>
        <w:tc>
          <w:tcPr>
            <w:tcW w:w="2323" w:type="dxa"/>
          </w:tcPr>
          <w:p w:rsidR="000153C7" w:rsidRPr="008E38A8" w:rsidRDefault="000153C7" w:rsidP="0028018E">
            <w:pPr>
              <w:rPr>
                <w:rFonts w:asciiTheme="minorHAnsi" w:hAnsiTheme="minorHAnsi"/>
                <w:b/>
                <w:sz w:val="22"/>
                <w:szCs w:val="22"/>
              </w:rPr>
            </w:pPr>
          </w:p>
        </w:tc>
      </w:tr>
      <w:tr w:rsidR="000153C7" w:rsidRPr="008E38A8" w:rsidTr="0028018E">
        <w:tc>
          <w:tcPr>
            <w:tcW w:w="1068" w:type="dxa"/>
          </w:tcPr>
          <w:p w:rsidR="000153C7" w:rsidRPr="008E38A8" w:rsidRDefault="000153C7" w:rsidP="0028018E">
            <w:pPr>
              <w:rPr>
                <w:rFonts w:asciiTheme="minorHAnsi" w:hAnsiTheme="minorHAnsi"/>
                <w:sz w:val="22"/>
                <w:szCs w:val="22"/>
              </w:rPr>
            </w:pPr>
            <w:r w:rsidRPr="008E38A8">
              <w:rPr>
                <w:rFonts w:asciiTheme="minorHAnsi" w:hAnsiTheme="minorHAnsi"/>
                <w:sz w:val="22"/>
                <w:szCs w:val="22"/>
              </w:rPr>
              <w:t>8/6/14</w:t>
            </w:r>
          </w:p>
          <w:p w:rsidR="000153C7" w:rsidRPr="008E38A8" w:rsidRDefault="000153C7" w:rsidP="0028018E">
            <w:pPr>
              <w:rPr>
                <w:rFonts w:asciiTheme="minorHAnsi" w:hAnsiTheme="minorHAnsi"/>
                <w:sz w:val="22"/>
                <w:szCs w:val="22"/>
              </w:rPr>
            </w:pPr>
          </w:p>
          <w:p w:rsidR="000153C7" w:rsidRPr="008E38A8" w:rsidRDefault="000153C7" w:rsidP="0028018E">
            <w:pPr>
              <w:rPr>
                <w:rFonts w:asciiTheme="minorHAnsi" w:hAnsiTheme="minorHAnsi"/>
                <w:sz w:val="22"/>
                <w:szCs w:val="22"/>
              </w:rPr>
            </w:pPr>
          </w:p>
          <w:p w:rsidR="000153C7" w:rsidRPr="008E38A8" w:rsidRDefault="000153C7" w:rsidP="0028018E">
            <w:pPr>
              <w:rPr>
                <w:rFonts w:asciiTheme="minorHAnsi" w:hAnsiTheme="minorHAnsi"/>
                <w:sz w:val="22"/>
                <w:szCs w:val="22"/>
              </w:rPr>
            </w:pPr>
          </w:p>
        </w:tc>
        <w:tc>
          <w:tcPr>
            <w:tcW w:w="4844" w:type="dxa"/>
          </w:tcPr>
          <w:p w:rsidR="000153C7" w:rsidRPr="008E38A8" w:rsidRDefault="000153C7" w:rsidP="0028018E">
            <w:pPr>
              <w:rPr>
                <w:rFonts w:asciiTheme="minorHAnsi" w:hAnsiTheme="minorHAnsi"/>
                <w:sz w:val="22"/>
                <w:szCs w:val="22"/>
              </w:rPr>
            </w:pPr>
            <w:r w:rsidRPr="008E38A8">
              <w:rPr>
                <w:rFonts w:asciiTheme="minorHAnsi" w:hAnsiTheme="minorHAnsi" w:cstheme="minorHAnsi"/>
                <w:sz w:val="22"/>
                <w:szCs w:val="22"/>
              </w:rPr>
              <w:lastRenderedPageBreak/>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0153C7" w:rsidRPr="008E38A8" w:rsidRDefault="000153C7" w:rsidP="0028018E">
            <w:pPr>
              <w:rPr>
                <w:rFonts w:asciiTheme="minorHAnsi" w:hAnsiTheme="minorHAnsi"/>
                <w:sz w:val="22"/>
                <w:szCs w:val="22"/>
              </w:rPr>
            </w:pPr>
          </w:p>
        </w:tc>
        <w:tc>
          <w:tcPr>
            <w:tcW w:w="2085" w:type="dxa"/>
          </w:tcPr>
          <w:p w:rsidR="000153C7" w:rsidRPr="008E38A8" w:rsidRDefault="000153C7" w:rsidP="0028018E">
            <w:pPr>
              <w:rPr>
                <w:rFonts w:asciiTheme="minorHAnsi" w:hAnsiTheme="minorHAnsi"/>
                <w:b/>
                <w:sz w:val="22"/>
                <w:szCs w:val="22"/>
              </w:rPr>
            </w:pPr>
          </w:p>
        </w:tc>
        <w:tc>
          <w:tcPr>
            <w:tcW w:w="2323" w:type="dxa"/>
          </w:tcPr>
          <w:p w:rsidR="000153C7" w:rsidRPr="008E38A8" w:rsidRDefault="000153C7" w:rsidP="0028018E">
            <w:pPr>
              <w:rPr>
                <w:rFonts w:asciiTheme="minorHAnsi" w:hAnsiTheme="minorHAnsi"/>
                <w:b/>
                <w:sz w:val="22"/>
                <w:szCs w:val="22"/>
              </w:rPr>
            </w:pPr>
          </w:p>
        </w:tc>
      </w:tr>
      <w:tr w:rsidR="00A80B89" w:rsidRPr="00382C14" w:rsidTr="0028018E">
        <w:tc>
          <w:tcPr>
            <w:tcW w:w="1068" w:type="dxa"/>
          </w:tcPr>
          <w:p w:rsidR="00A80B89" w:rsidRPr="008A58FD" w:rsidRDefault="00A80B89" w:rsidP="0028018E">
            <w:pPr>
              <w:rPr>
                <w:rFonts w:asciiTheme="minorHAnsi" w:hAnsiTheme="minorHAnsi"/>
                <w:sz w:val="22"/>
                <w:szCs w:val="22"/>
              </w:rPr>
            </w:pPr>
            <w:r w:rsidRPr="008A58FD">
              <w:rPr>
                <w:rFonts w:asciiTheme="minorHAnsi" w:hAnsiTheme="minorHAnsi"/>
                <w:sz w:val="22"/>
                <w:szCs w:val="22"/>
              </w:rPr>
              <w:lastRenderedPageBreak/>
              <w:t>6/4/14</w:t>
            </w:r>
          </w:p>
          <w:p w:rsidR="00A80B89" w:rsidRPr="008A58FD" w:rsidRDefault="00A80B89" w:rsidP="0028018E">
            <w:pPr>
              <w:rPr>
                <w:rFonts w:asciiTheme="minorHAnsi" w:hAnsiTheme="minorHAnsi"/>
                <w:sz w:val="22"/>
                <w:szCs w:val="22"/>
              </w:rPr>
            </w:pPr>
          </w:p>
          <w:p w:rsidR="00A80B89" w:rsidRPr="008A58FD" w:rsidRDefault="00A80B89" w:rsidP="0028018E">
            <w:pPr>
              <w:rPr>
                <w:rFonts w:asciiTheme="minorHAnsi" w:hAnsiTheme="minorHAnsi"/>
                <w:sz w:val="22"/>
                <w:szCs w:val="22"/>
              </w:rPr>
            </w:pPr>
          </w:p>
        </w:tc>
        <w:tc>
          <w:tcPr>
            <w:tcW w:w="4844" w:type="dxa"/>
          </w:tcPr>
          <w:p w:rsidR="00A80B89" w:rsidRPr="008A58FD" w:rsidRDefault="00A80B89" w:rsidP="0028018E">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A80B89" w:rsidRPr="008A58FD" w:rsidRDefault="00A80B89" w:rsidP="0028018E">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A80B89" w:rsidRPr="008A58FD" w:rsidRDefault="00A80B89" w:rsidP="0028018E">
            <w:pPr>
              <w:rPr>
                <w:rFonts w:asciiTheme="minorHAnsi" w:hAnsiTheme="minorHAnsi"/>
                <w:b/>
                <w:sz w:val="22"/>
                <w:szCs w:val="22"/>
              </w:rPr>
            </w:pPr>
          </w:p>
        </w:tc>
        <w:tc>
          <w:tcPr>
            <w:tcW w:w="2323" w:type="dxa"/>
          </w:tcPr>
          <w:p w:rsidR="00A80B89" w:rsidRPr="008A58FD" w:rsidRDefault="00A80B89" w:rsidP="0028018E">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E57983" w:rsidRPr="00382C14" w:rsidRDefault="00405094"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1B589D" w:rsidRPr="00382C14" w:rsidRDefault="00E57983"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P3 Pilots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Program</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E57983" w:rsidRPr="00382C14" w:rsidRDefault="00E57983"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Consumers may not be appropriately educated/prepared for participation in HH/BHHO </w:t>
            </w:r>
            <w:r w:rsidRPr="00382C14">
              <w:rPr>
                <w:rFonts w:asciiTheme="minorHAnsi" w:hAnsiTheme="minorHAnsi"/>
                <w:sz w:val="22"/>
                <w:szCs w:val="22"/>
              </w:rPr>
              <w:lastRenderedPageBreak/>
              <w:t>structures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 xml:space="preserve">Launch consumer engagement campaigns </w:t>
            </w:r>
            <w:r w:rsidRPr="00382C14">
              <w:rPr>
                <w:rFonts w:asciiTheme="minorHAnsi" w:hAnsiTheme="minorHAnsi"/>
                <w:sz w:val="22"/>
                <w:szCs w:val="22"/>
              </w:rPr>
              <w:lastRenderedPageBreak/>
              <w:t xml:space="preserve">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xml:space="preserve">; Delivery System Reform </w:t>
            </w:r>
            <w:r w:rsidRPr="00382C14">
              <w:rPr>
                <w:rFonts w:asciiTheme="minorHAnsi" w:hAnsiTheme="minorHAnsi"/>
                <w:b/>
                <w:sz w:val="22"/>
                <w:szCs w:val="22"/>
              </w:rPr>
              <w:lastRenderedPageBreak/>
              <w:t>Subcommittee;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Quality Counts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Data Infrastructure Subcommittee</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 xml:space="preserve">that </w:t>
            </w:r>
            <w:r w:rsidRPr="00382C14">
              <w:rPr>
                <w:rFonts w:asciiTheme="minorHAnsi" w:hAnsiTheme="minorHAnsi"/>
                <w:sz w:val="22"/>
                <w:szCs w:val="22"/>
              </w:rPr>
              <w:lastRenderedPageBreak/>
              <w:t>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lastRenderedPageBreak/>
              <w:t xml:space="preserve">1) clarify with the Governance </w:t>
            </w:r>
            <w:r w:rsidRPr="00382C14">
              <w:rPr>
                <w:rFonts w:asciiTheme="minorHAnsi" w:hAnsiTheme="minorHAnsi"/>
                <w:sz w:val="22"/>
                <w:szCs w:val="22"/>
              </w:rPr>
              <w:lastRenderedPageBreak/>
              <w:t>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 xml:space="preserve">Pros: mitigation </w:t>
            </w:r>
            <w:r w:rsidRPr="00382C14">
              <w:rPr>
                <w:rFonts w:asciiTheme="minorHAnsi" w:hAnsiTheme="minorHAnsi"/>
                <w:b/>
                <w:sz w:val="22"/>
                <w:szCs w:val="22"/>
              </w:rPr>
              <w:lastRenderedPageBreak/>
              <w:t>steps will improve meeting process and clarify expected actions for members;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 xml:space="preserve">SIM Project </w:t>
            </w:r>
            <w:r w:rsidRPr="00382C14">
              <w:rPr>
                <w:rFonts w:asciiTheme="minorHAnsi" w:hAnsiTheme="minorHAnsi"/>
                <w:b/>
                <w:sz w:val="22"/>
                <w:szCs w:val="22"/>
              </w:rPr>
              <w:lastRenderedPageBreak/>
              <w:t>Management</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10/31/13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lastRenderedPageBreak/>
              <w:t>unmanagable</w:t>
            </w:r>
            <w:proofErr w:type="spellEnd"/>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 xml:space="preserve">1) Create a process to identify Core and Ad Hoc consensus voting members clearly for </w:t>
            </w:r>
            <w:r w:rsidRPr="00382C14">
              <w:rPr>
                <w:rFonts w:asciiTheme="minorHAnsi" w:hAnsiTheme="minorHAnsi"/>
                <w:sz w:val="22"/>
                <w:szCs w:val="22"/>
              </w:rPr>
              <w:lastRenderedPageBreak/>
              <w:t>each meeting</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Pros: will focus and support meeting process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Cons: may inadvertently limit engagement of Interested parties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 xml:space="preserve">Critical to ensure that the enhanced primary care payment is continued through the duration of SIM in order to sustain transformation in primary care and </w:t>
            </w:r>
            <w:r w:rsidRPr="00382C14">
              <w:rPr>
                <w:rFonts w:asciiTheme="minorHAnsi" w:hAnsiTheme="minorHAnsi"/>
                <w:sz w:val="22"/>
                <w:szCs w:val="22"/>
              </w:rPr>
              <w:lastRenderedPageBreak/>
              <w:t>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lastRenderedPageBreak/>
              <w:t xml:space="preserve">Gap in connection of primary care (including PCMH and HH practices) to the Health Information Exchange and the associated functions (e.g. notification and alerting) will limit capability of primary care to attain efficiencies in accordance with the SIM </w:t>
            </w:r>
            <w:r w:rsidRPr="00382C14">
              <w:rPr>
                <w:rFonts w:asciiTheme="minorHAnsi" w:hAnsiTheme="minorHAnsi"/>
                <w:sz w:val="22"/>
                <w:szCs w:val="22"/>
              </w:rPr>
              <w:lastRenderedPageBreak/>
              <w:t>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lastRenderedPageBreak/>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58E" w:rsidRDefault="0090758E" w:rsidP="009528AC">
      <w:pPr>
        <w:spacing w:after="0" w:line="240" w:lineRule="auto"/>
      </w:pPr>
      <w:r>
        <w:separator/>
      </w:r>
    </w:p>
  </w:endnote>
  <w:endnote w:type="continuationSeparator" w:id="0">
    <w:p w:rsidR="0090758E" w:rsidRDefault="0090758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28018E" w:rsidRDefault="0028018E">
        <w:pPr>
          <w:pStyle w:val="Footer"/>
          <w:jc w:val="right"/>
        </w:pPr>
        <w:r>
          <w:fldChar w:fldCharType="begin"/>
        </w:r>
        <w:r>
          <w:instrText xml:space="preserve"> PAGE   \* MERGEFORMAT </w:instrText>
        </w:r>
        <w:r>
          <w:fldChar w:fldCharType="separate"/>
        </w:r>
        <w:r w:rsidR="00864A4A">
          <w:rPr>
            <w:noProof/>
          </w:rPr>
          <w:t>5</w:t>
        </w:r>
        <w:r>
          <w:rPr>
            <w:noProof/>
          </w:rPr>
          <w:fldChar w:fldCharType="end"/>
        </w:r>
      </w:p>
    </w:sdtContent>
  </w:sdt>
  <w:p w:rsidR="0028018E" w:rsidRDefault="0028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58E" w:rsidRDefault="0090758E" w:rsidP="009528AC">
      <w:pPr>
        <w:spacing w:after="0" w:line="240" w:lineRule="auto"/>
      </w:pPr>
      <w:r>
        <w:separator/>
      </w:r>
    </w:p>
  </w:footnote>
  <w:footnote w:type="continuationSeparator" w:id="0">
    <w:p w:rsidR="0090758E" w:rsidRDefault="0090758E"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28018E" w:rsidRDefault="00864A4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648"/>
    <w:multiLevelType w:val="hybridMultilevel"/>
    <w:tmpl w:val="E742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611545"/>
    <w:multiLevelType w:val="hybridMultilevel"/>
    <w:tmpl w:val="76DE9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2C942CB"/>
    <w:multiLevelType w:val="hybridMultilevel"/>
    <w:tmpl w:val="546E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0">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F765F"/>
    <w:multiLevelType w:val="hybridMultilevel"/>
    <w:tmpl w:val="C89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B39EF"/>
    <w:multiLevelType w:val="hybridMultilevel"/>
    <w:tmpl w:val="24B6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9"/>
  </w:num>
  <w:num w:numId="4">
    <w:abstractNumId w:val="2"/>
  </w:num>
  <w:num w:numId="5">
    <w:abstractNumId w:val="5"/>
  </w:num>
  <w:num w:numId="6">
    <w:abstractNumId w:val="14"/>
  </w:num>
  <w:num w:numId="7">
    <w:abstractNumId w:val="0"/>
  </w:num>
  <w:num w:numId="8">
    <w:abstractNumId w:val="20"/>
  </w:num>
  <w:num w:numId="9">
    <w:abstractNumId w:val="16"/>
  </w:num>
  <w:num w:numId="10">
    <w:abstractNumId w:val="9"/>
  </w:num>
  <w:num w:numId="11">
    <w:abstractNumId w:val="18"/>
  </w:num>
  <w:num w:numId="12">
    <w:abstractNumId w:val="1"/>
  </w:num>
  <w:num w:numId="13">
    <w:abstractNumId w:val="10"/>
  </w:num>
  <w:num w:numId="14">
    <w:abstractNumId w:val="15"/>
  </w:num>
  <w:num w:numId="15">
    <w:abstractNumId w:val="21"/>
  </w:num>
  <w:num w:numId="16">
    <w:abstractNumId w:val="12"/>
  </w:num>
  <w:num w:numId="17">
    <w:abstractNumId w:val="4"/>
  </w:num>
  <w:num w:numId="18">
    <w:abstractNumId w:val="11"/>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7"/>
  </w:num>
  <w:num w:numId="22">
    <w:abstractNumId w:val="13"/>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53C7"/>
    <w:rsid w:val="00021782"/>
    <w:rsid w:val="00022A29"/>
    <w:rsid w:val="00026C79"/>
    <w:rsid w:val="00033E1C"/>
    <w:rsid w:val="00046DB0"/>
    <w:rsid w:val="00047088"/>
    <w:rsid w:val="00051E6B"/>
    <w:rsid w:val="00053DB9"/>
    <w:rsid w:val="00066456"/>
    <w:rsid w:val="00086D9D"/>
    <w:rsid w:val="000943DC"/>
    <w:rsid w:val="00097E02"/>
    <w:rsid w:val="000A6C66"/>
    <w:rsid w:val="000B280D"/>
    <w:rsid w:val="000B3716"/>
    <w:rsid w:val="000B6131"/>
    <w:rsid w:val="000C35A5"/>
    <w:rsid w:val="000C5E04"/>
    <w:rsid w:val="000C6E74"/>
    <w:rsid w:val="000D5FE1"/>
    <w:rsid w:val="000D7AD4"/>
    <w:rsid w:val="000E066F"/>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6445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3339"/>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018E"/>
    <w:rsid w:val="00285B5F"/>
    <w:rsid w:val="00294AD3"/>
    <w:rsid w:val="002950B8"/>
    <w:rsid w:val="002A22B5"/>
    <w:rsid w:val="002A2A54"/>
    <w:rsid w:val="002A54A7"/>
    <w:rsid w:val="002A5768"/>
    <w:rsid w:val="002A711F"/>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07654"/>
    <w:rsid w:val="00317EB4"/>
    <w:rsid w:val="00320777"/>
    <w:rsid w:val="00320DF3"/>
    <w:rsid w:val="003234D8"/>
    <w:rsid w:val="00323BDD"/>
    <w:rsid w:val="003264CE"/>
    <w:rsid w:val="00365DB9"/>
    <w:rsid w:val="00366684"/>
    <w:rsid w:val="00382C14"/>
    <w:rsid w:val="003970E1"/>
    <w:rsid w:val="003972B8"/>
    <w:rsid w:val="003A276D"/>
    <w:rsid w:val="003B18D0"/>
    <w:rsid w:val="003B3F0A"/>
    <w:rsid w:val="003C0B6E"/>
    <w:rsid w:val="003D799D"/>
    <w:rsid w:val="003E0CE1"/>
    <w:rsid w:val="003E16CD"/>
    <w:rsid w:val="003E784C"/>
    <w:rsid w:val="003E7C6A"/>
    <w:rsid w:val="00401D7B"/>
    <w:rsid w:val="00401DC3"/>
    <w:rsid w:val="00405094"/>
    <w:rsid w:val="00423D67"/>
    <w:rsid w:val="004270B5"/>
    <w:rsid w:val="004278A9"/>
    <w:rsid w:val="00427D52"/>
    <w:rsid w:val="00431A1C"/>
    <w:rsid w:val="00433786"/>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B7ACB"/>
    <w:rsid w:val="004C0584"/>
    <w:rsid w:val="004C0EA7"/>
    <w:rsid w:val="004C2832"/>
    <w:rsid w:val="004C59C2"/>
    <w:rsid w:val="004D0BB4"/>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87668"/>
    <w:rsid w:val="00693536"/>
    <w:rsid w:val="0069679D"/>
    <w:rsid w:val="006974E7"/>
    <w:rsid w:val="006A1299"/>
    <w:rsid w:val="006A364D"/>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7F17EC"/>
    <w:rsid w:val="008008C0"/>
    <w:rsid w:val="008052D6"/>
    <w:rsid w:val="00805848"/>
    <w:rsid w:val="00806385"/>
    <w:rsid w:val="00812430"/>
    <w:rsid w:val="00813030"/>
    <w:rsid w:val="00823275"/>
    <w:rsid w:val="00830ADA"/>
    <w:rsid w:val="00832AAA"/>
    <w:rsid w:val="00843D5B"/>
    <w:rsid w:val="00845764"/>
    <w:rsid w:val="00845BEA"/>
    <w:rsid w:val="00863D8E"/>
    <w:rsid w:val="00864A4A"/>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162A"/>
    <w:rsid w:val="008E19F6"/>
    <w:rsid w:val="008F2DA8"/>
    <w:rsid w:val="008F5D6E"/>
    <w:rsid w:val="00906A46"/>
    <w:rsid w:val="0090758E"/>
    <w:rsid w:val="0091304A"/>
    <w:rsid w:val="009142CC"/>
    <w:rsid w:val="00914EB5"/>
    <w:rsid w:val="00916453"/>
    <w:rsid w:val="00916DE7"/>
    <w:rsid w:val="00924B9E"/>
    <w:rsid w:val="00925343"/>
    <w:rsid w:val="00934F2C"/>
    <w:rsid w:val="009363E1"/>
    <w:rsid w:val="009470B3"/>
    <w:rsid w:val="009528AC"/>
    <w:rsid w:val="00952C2E"/>
    <w:rsid w:val="009569E4"/>
    <w:rsid w:val="0095790E"/>
    <w:rsid w:val="0099337F"/>
    <w:rsid w:val="009A06B8"/>
    <w:rsid w:val="009A674E"/>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3AF3"/>
    <w:rsid w:val="00A5601F"/>
    <w:rsid w:val="00A628F7"/>
    <w:rsid w:val="00A63621"/>
    <w:rsid w:val="00A63CB1"/>
    <w:rsid w:val="00A65CDF"/>
    <w:rsid w:val="00A7115B"/>
    <w:rsid w:val="00A7467D"/>
    <w:rsid w:val="00A77638"/>
    <w:rsid w:val="00A80237"/>
    <w:rsid w:val="00A80B89"/>
    <w:rsid w:val="00A81FC0"/>
    <w:rsid w:val="00A93934"/>
    <w:rsid w:val="00AA3374"/>
    <w:rsid w:val="00AA717C"/>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779CA"/>
    <w:rsid w:val="00B84210"/>
    <w:rsid w:val="00B97464"/>
    <w:rsid w:val="00BB38A4"/>
    <w:rsid w:val="00BB514A"/>
    <w:rsid w:val="00BB5E4C"/>
    <w:rsid w:val="00BC12FD"/>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26F5B"/>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0EC3"/>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2C8D"/>
    <w:rsid w:val="00DD42D5"/>
    <w:rsid w:val="00DD55F3"/>
    <w:rsid w:val="00DD65F7"/>
    <w:rsid w:val="00DE3859"/>
    <w:rsid w:val="00DF4565"/>
    <w:rsid w:val="00E02E28"/>
    <w:rsid w:val="00E037B1"/>
    <w:rsid w:val="00E04405"/>
    <w:rsid w:val="00E075CF"/>
    <w:rsid w:val="00E11F71"/>
    <w:rsid w:val="00E20E41"/>
    <w:rsid w:val="00E32CBA"/>
    <w:rsid w:val="00E339A4"/>
    <w:rsid w:val="00E3596C"/>
    <w:rsid w:val="00E40F7B"/>
    <w:rsid w:val="00E4422C"/>
    <w:rsid w:val="00E51260"/>
    <w:rsid w:val="00E535AD"/>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60C73"/>
    <w:rsid w:val="00F615E4"/>
    <w:rsid w:val="00F61704"/>
    <w:rsid w:val="00F61F9E"/>
    <w:rsid w:val="00F656FC"/>
    <w:rsid w:val="00F71A33"/>
    <w:rsid w:val="00F745A6"/>
    <w:rsid w:val="00F74A3C"/>
    <w:rsid w:val="00F82204"/>
    <w:rsid w:val="00F84999"/>
    <w:rsid w:val="00F97DA7"/>
    <w:rsid w:val="00FA2661"/>
    <w:rsid w:val="00FA429D"/>
    <w:rsid w:val="00FB17D7"/>
    <w:rsid w:val="00FB42CE"/>
    <w:rsid w:val="00FB68BC"/>
    <w:rsid w:val="00FB6993"/>
    <w:rsid w:val="00FC3A6F"/>
    <w:rsid w:val="00FC618E"/>
    <w:rsid w:val="00FE472B"/>
    <w:rsid w:val="00FE4D5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764"/>
    <w:rPr>
      <w:sz w:val="16"/>
      <w:szCs w:val="16"/>
    </w:rPr>
  </w:style>
  <w:style w:type="paragraph" w:styleId="CommentText">
    <w:name w:val="annotation text"/>
    <w:basedOn w:val="Normal"/>
    <w:link w:val="CommentTextChar"/>
    <w:uiPriority w:val="99"/>
    <w:semiHidden/>
    <w:unhideWhenUsed/>
    <w:rsid w:val="00845764"/>
    <w:pPr>
      <w:spacing w:line="240" w:lineRule="auto"/>
    </w:pPr>
    <w:rPr>
      <w:sz w:val="20"/>
      <w:szCs w:val="20"/>
    </w:rPr>
  </w:style>
  <w:style w:type="character" w:customStyle="1" w:styleId="CommentTextChar">
    <w:name w:val="Comment Text Char"/>
    <w:basedOn w:val="DefaultParagraphFont"/>
    <w:link w:val="CommentText"/>
    <w:uiPriority w:val="99"/>
    <w:semiHidden/>
    <w:rsid w:val="00845764"/>
    <w:rPr>
      <w:sz w:val="20"/>
      <w:szCs w:val="20"/>
    </w:rPr>
  </w:style>
  <w:style w:type="paragraph" w:styleId="CommentSubject">
    <w:name w:val="annotation subject"/>
    <w:basedOn w:val="CommentText"/>
    <w:next w:val="CommentText"/>
    <w:link w:val="CommentSubjectChar"/>
    <w:uiPriority w:val="99"/>
    <w:semiHidden/>
    <w:unhideWhenUsed/>
    <w:rsid w:val="00845764"/>
    <w:rPr>
      <w:b/>
      <w:bCs/>
    </w:rPr>
  </w:style>
  <w:style w:type="character" w:customStyle="1" w:styleId="CommentSubjectChar">
    <w:name w:val="Comment Subject Char"/>
    <w:basedOn w:val="CommentTextChar"/>
    <w:link w:val="CommentSubject"/>
    <w:uiPriority w:val="99"/>
    <w:semiHidden/>
    <w:rsid w:val="008457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764"/>
    <w:rPr>
      <w:sz w:val="16"/>
      <w:szCs w:val="16"/>
    </w:rPr>
  </w:style>
  <w:style w:type="paragraph" w:styleId="CommentText">
    <w:name w:val="annotation text"/>
    <w:basedOn w:val="Normal"/>
    <w:link w:val="CommentTextChar"/>
    <w:uiPriority w:val="99"/>
    <w:semiHidden/>
    <w:unhideWhenUsed/>
    <w:rsid w:val="00845764"/>
    <w:pPr>
      <w:spacing w:line="240" w:lineRule="auto"/>
    </w:pPr>
    <w:rPr>
      <w:sz w:val="20"/>
      <w:szCs w:val="20"/>
    </w:rPr>
  </w:style>
  <w:style w:type="character" w:customStyle="1" w:styleId="CommentTextChar">
    <w:name w:val="Comment Text Char"/>
    <w:basedOn w:val="DefaultParagraphFont"/>
    <w:link w:val="CommentText"/>
    <w:uiPriority w:val="99"/>
    <w:semiHidden/>
    <w:rsid w:val="00845764"/>
    <w:rPr>
      <w:sz w:val="20"/>
      <w:szCs w:val="20"/>
    </w:rPr>
  </w:style>
  <w:style w:type="paragraph" w:styleId="CommentSubject">
    <w:name w:val="annotation subject"/>
    <w:basedOn w:val="CommentText"/>
    <w:next w:val="CommentText"/>
    <w:link w:val="CommentSubjectChar"/>
    <w:uiPriority w:val="99"/>
    <w:semiHidden/>
    <w:unhideWhenUsed/>
    <w:rsid w:val="00845764"/>
    <w:rPr>
      <w:b/>
      <w:bCs/>
    </w:rPr>
  </w:style>
  <w:style w:type="character" w:customStyle="1" w:styleId="CommentSubjectChar">
    <w:name w:val="Comment Subject Char"/>
    <w:basedOn w:val="CommentTextChar"/>
    <w:link w:val="CommentSubject"/>
    <w:uiPriority w:val="99"/>
    <w:semiHidden/>
    <w:rsid w:val="00845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573">
      <w:bodyDiv w:val="1"/>
      <w:marLeft w:val="0"/>
      <w:marRight w:val="0"/>
      <w:marTop w:val="0"/>
      <w:marBottom w:val="0"/>
      <w:divBdr>
        <w:top w:val="none" w:sz="0" w:space="0" w:color="auto"/>
        <w:left w:val="none" w:sz="0" w:space="0" w:color="auto"/>
        <w:bottom w:val="none" w:sz="0" w:space="0" w:color="auto"/>
        <w:right w:val="none" w:sz="0" w:space="0" w:color="auto"/>
      </w:divBdr>
    </w:div>
    <w:div w:id="233442954">
      <w:bodyDiv w:val="1"/>
      <w:marLeft w:val="0"/>
      <w:marRight w:val="0"/>
      <w:marTop w:val="0"/>
      <w:marBottom w:val="0"/>
      <w:divBdr>
        <w:top w:val="none" w:sz="0" w:space="0" w:color="auto"/>
        <w:left w:val="none" w:sz="0" w:space="0" w:color="auto"/>
        <w:bottom w:val="none" w:sz="0" w:space="0" w:color="auto"/>
        <w:right w:val="none" w:sz="0" w:space="0" w:color="auto"/>
      </w:divBdr>
    </w:div>
    <w:div w:id="263155105">
      <w:bodyDiv w:val="1"/>
      <w:marLeft w:val="0"/>
      <w:marRight w:val="0"/>
      <w:marTop w:val="0"/>
      <w:marBottom w:val="0"/>
      <w:divBdr>
        <w:top w:val="none" w:sz="0" w:space="0" w:color="auto"/>
        <w:left w:val="none" w:sz="0" w:space="0" w:color="auto"/>
        <w:bottom w:val="none" w:sz="0" w:space="0" w:color="auto"/>
        <w:right w:val="none" w:sz="0" w:space="0" w:color="auto"/>
      </w:divBdr>
    </w:div>
    <w:div w:id="271521114">
      <w:bodyDiv w:val="1"/>
      <w:marLeft w:val="0"/>
      <w:marRight w:val="0"/>
      <w:marTop w:val="0"/>
      <w:marBottom w:val="0"/>
      <w:divBdr>
        <w:top w:val="none" w:sz="0" w:space="0" w:color="auto"/>
        <w:left w:val="none" w:sz="0" w:space="0" w:color="auto"/>
        <w:bottom w:val="none" w:sz="0" w:space="0" w:color="auto"/>
        <w:right w:val="none" w:sz="0" w:space="0" w:color="auto"/>
      </w:divBdr>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955601497">
      <w:bodyDiv w:val="1"/>
      <w:marLeft w:val="0"/>
      <w:marRight w:val="0"/>
      <w:marTop w:val="0"/>
      <w:marBottom w:val="0"/>
      <w:divBdr>
        <w:top w:val="none" w:sz="0" w:space="0" w:color="auto"/>
        <w:left w:val="none" w:sz="0" w:space="0" w:color="auto"/>
        <w:bottom w:val="none" w:sz="0" w:space="0" w:color="auto"/>
        <w:right w:val="none" w:sz="0" w:space="0" w:color="auto"/>
      </w:divBdr>
    </w:div>
    <w:div w:id="1118913743">
      <w:bodyDiv w:val="1"/>
      <w:marLeft w:val="0"/>
      <w:marRight w:val="0"/>
      <w:marTop w:val="0"/>
      <w:marBottom w:val="0"/>
      <w:divBdr>
        <w:top w:val="none" w:sz="0" w:space="0" w:color="auto"/>
        <w:left w:val="none" w:sz="0" w:space="0" w:color="auto"/>
        <w:bottom w:val="none" w:sz="0" w:space="0" w:color="auto"/>
        <w:right w:val="none" w:sz="0" w:space="0" w:color="auto"/>
      </w:divBdr>
    </w:div>
    <w:div w:id="1190488379">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20220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21C8-504F-44DD-B5DE-B542D32F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4</cp:revision>
  <cp:lastPrinted>2015-01-07T13:01:00Z</cp:lastPrinted>
  <dcterms:created xsi:type="dcterms:W3CDTF">2015-01-16T14:09:00Z</dcterms:created>
  <dcterms:modified xsi:type="dcterms:W3CDTF">2015-01-28T17:26:00Z</dcterms:modified>
</cp:coreProperties>
</file>